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33ACF" w14:textId="77777777" w:rsidR="00992D80" w:rsidRDefault="00992D80" w:rsidP="00A00806">
      <w:pPr>
        <w:spacing w:line="480" w:lineRule="auto"/>
        <w:rPr>
          <w:rFonts w:ascii="Times New Roman" w:hAnsi="Times New Roman" w:cs="Times New Roman"/>
        </w:rPr>
      </w:pPr>
    </w:p>
    <w:p w14:paraId="53291CB9" w14:textId="77777777" w:rsidR="00A00806" w:rsidRDefault="00A00806" w:rsidP="00A00806">
      <w:pPr>
        <w:spacing w:line="480" w:lineRule="auto"/>
        <w:rPr>
          <w:rFonts w:ascii="Times New Roman" w:hAnsi="Times New Roman" w:cs="Times New Roman"/>
        </w:rPr>
      </w:pPr>
    </w:p>
    <w:p w14:paraId="6B3FD200" w14:textId="77777777" w:rsidR="00A00806" w:rsidRDefault="00A00806" w:rsidP="00A00806">
      <w:pPr>
        <w:spacing w:line="480" w:lineRule="auto"/>
        <w:rPr>
          <w:rFonts w:ascii="Times New Roman" w:hAnsi="Times New Roman" w:cs="Times New Roman"/>
        </w:rPr>
      </w:pPr>
    </w:p>
    <w:p w14:paraId="0A684051" w14:textId="77777777" w:rsidR="00A00806" w:rsidRDefault="00A00806" w:rsidP="00A00806">
      <w:pPr>
        <w:spacing w:line="480" w:lineRule="auto"/>
        <w:rPr>
          <w:rFonts w:ascii="Times New Roman" w:hAnsi="Times New Roman" w:cs="Times New Roman"/>
        </w:rPr>
      </w:pPr>
    </w:p>
    <w:p w14:paraId="5C780FB5" w14:textId="77777777" w:rsidR="00A00806" w:rsidRDefault="00A00806" w:rsidP="00A00806">
      <w:pPr>
        <w:spacing w:line="480" w:lineRule="auto"/>
        <w:rPr>
          <w:rFonts w:ascii="Times New Roman" w:hAnsi="Times New Roman" w:cs="Times New Roman"/>
        </w:rPr>
      </w:pPr>
    </w:p>
    <w:p w14:paraId="04FF7A02" w14:textId="77777777" w:rsidR="00A00806" w:rsidRDefault="00A00806" w:rsidP="00A00806">
      <w:pPr>
        <w:spacing w:line="480" w:lineRule="auto"/>
        <w:rPr>
          <w:rFonts w:ascii="Times New Roman" w:hAnsi="Times New Roman" w:cs="Times New Roman"/>
        </w:rPr>
      </w:pPr>
    </w:p>
    <w:p w14:paraId="57F85DBD" w14:textId="77777777" w:rsidR="00A00806" w:rsidRDefault="00A00806" w:rsidP="00A00806">
      <w:pPr>
        <w:spacing w:line="480" w:lineRule="auto"/>
        <w:rPr>
          <w:rFonts w:ascii="Times New Roman" w:hAnsi="Times New Roman" w:cs="Times New Roman"/>
        </w:rPr>
      </w:pPr>
    </w:p>
    <w:p w14:paraId="6E3112A5" w14:textId="77777777" w:rsidR="00A00806" w:rsidRDefault="00A00806" w:rsidP="00A00806">
      <w:pPr>
        <w:spacing w:line="480" w:lineRule="auto"/>
        <w:rPr>
          <w:rFonts w:ascii="Times New Roman" w:hAnsi="Times New Roman" w:cs="Times New Roman"/>
        </w:rPr>
      </w:pPr>
    </w:p>
    <w:p w14:paraId="6BA52EDD" w14:textId="77777777" w:rsidR="00A00806" w:rsidRDefault="00A00806" w:rsidP="00A00806">
      <w:pPr>
        <w:spacing w:line="480" w:lineRule="auto"/>
        <w:rPr>
          <w:rFonts w:ascii="Times New Roman" w:hAnsi="Times New Roman" w:cs="Times New Roman"/>
        </w:rPr>
      </w:pPr>
    </w:p>
    <w:p w14:paraId="24E3DCE0" w14:textId="1CB0DDD8" w:rsidR="00A00806" w:rsidRPr="00A00806" w:rsidRDefault="00A00806" w:rsidP="00A00806">
      <w:pPr>
        <w:spacing w:line="480" w:lineRule="auto"/>
        <w:ind w:firstLine="720"/>
        <w:rPr>
          <w:rFonts w:ascii="Times New Roman" w:hAnsi="Times New Roman" w:cs="Times New Roman"/>
        </w:rPr>
      </w:pPr>
      <w:r>
        <w:rPr>
          <w:rFonts w:ascii="Times New Roman" w:hAnsi="Times New Roman" w:cs="Times New Roman"/>
        </w:rPr>
        <w:t xml:space="preserve">               Final Examination for CAEP6302</w:t>
      </w:r>
      <w:r w:rsidRPr="00A00806">
        <w:rPr>
          <w:rFonts w:ascii="Times New Roman" w:hAnsi="Times New Roman" w:cs="Times New Roman"/>
        </w:rPr>
        <w:t xml:space="preserve"> Law &amp; Ethics in Higher Ed</w:t>
      </w:r>
      <w:r>
        <w:rPr>
          <w:rFonts w:ascii="Times New Roman" w:hAnsi="Times New Roman" w:cs="Times New Roman"/>
        </w:rPr>
        <w:t>ucation</w:t>
      </w:r>
    </w:p>
    <w:p w14:paraId="549D5664" w14:textId="77777777" w:rsidR="00A00806" w:rsidRPr="00A00806" w:rsidRDefault="00A00806" w:rsidP="00A00806">
      <w:pPr>
        <w:spacing w:line="480" w:lineRule="auto"/>
        <w:jc w:val="center"/>
        <w:rPr>
          <w:rFonts w:ascii="Times New Roman" w:hAnsi="Times New Roman" w:cs="Times New Roman"/>
        </w:rPr>
      </w:pPr>
      <w:r w:rsidRPr="00A00806">
        <w:rPr>
          <w:rFonts w:ascii="Times New Roman" w:hAnsi="Times New Roman" w:cs="Times New Roman"/>
        </w:rPr>
        <w:t>Carolyn Frantz</w:t>
      </w:r>
    </w:p>
    <w:p w14:paraId="76E1F146" w14:textId="33080C13" w:rsidR="00A00806" w:rsidRDefault="00A00806" w:rsidP="00A00806">
      <w:pPr>
        <w:spacing w:line="480" w:lineRule="auto"/>
        <w:jc w:val="center"/>
        <w:rPr>
          <w:rFonts w:ascii="Times New Roman" w:hAnsi="Times New Roman" w:cs="Times New Roman"/>
        </w:rPr>
      </w:pPr>
      <w:r w:rsidRPr="00A00806">
        <w:rPr>
          <w:rFonts w:ascii="Times New Roman" w:hAnsi="Times New Roman" w:cs="Times New Roman"/>
        </w:rPr>
        <w:t>Northeastern University</w:t>
      </w:r>
    </w:p>
    <w:p w14:paraId="3B03B5EB" w14:textId="77777777" w:rsidR="00A00806" w:rsidRDefault="00A00806" w:rsidP="00A00806">
      <w:pPr>
        <w:spacing w:line="480" w:lineRule="auto"/>
        <w:jc w:val="center"/>
        <w:rPr>
          <w:rFonts w:ascii="Times New Roman" w:hAnsi="Times New Roman" w:cs="Times New Roman"/>
        </w:rPr>
      </w:pPr>
    </w:p>
    <w:p w14:paraId="1866C5ED" w14:textId="77777777" w:rsidR="00A00806" w:rsidRDefault="00A00806" w:rsidP="00A00806">
      <w:pPr>
        <w:spacing w:line="480" w:lineRule="auto"/>
        <w:jc w:val="center"/>
        <w:rPr>
          <w:rFonts w:ascii="Times New Roman" w:hAnsi="Times New Roman" w:cs="Times New Roman"/>
        </w:rPr>
      </w:pPr>
    </w:p>
    <w:p w14:paraId="39C3C880" w14:textId="77777777" w:rsidR="00A00806" w:rsidRDefault="00A00806" w:rsidP="00A00806">
      <w:pPr>
        <w:spacing w:line="480" w:lineRule="auto"/>
        <w:jc w:val="center"/>
        <w:rPr>
          <w:rFonts w:ascii="Times New Roman" w:hAnsi="Times New Roman" w:cs="Times New Roman"/>
        </w:rPr>
      </w:pPr>
    </w:p>
    <w:p w14:paraId="26EFA135" w14:textId="77777777" w:rsidR="00A00806" w:rsidRDefault="00A00806" w:rsidP="00A00806">
      <w:pPr>
        <w:spacing w:line="480" w:lineRule="auto"/>
        <w:jc w:val="center"/>
        <w:rPr>
          <w:rFonts w:ascii="Times New Roman" w:hAnsi="Times New Roman" w:cs="Times New Roman"/>
        </w:rPr>
      </w:pPr>
    </w:p>
    <w:p w14:paraId="52082566" w14:textId="77777777" w:rsidR="00A00806" w:rsidRDefault="00A00806" w:rsidP="00A00806">
      <w:pPr>
        <w:spacing w:line="480" w:lineRule="auto"/>
        <w:jc w:val="center"/>
        <w:rPr>
          <w:rFonts w:ascii="Times New Roman" w:hAnsi="Times New Roman" w:cs="Times New Roman"/>
        </w:rPr>
      </w:pPr>
    </w:p>
    <w:p w14:paraId="1D8FAE45" w14:textId="77777777" w:rsidR="00A00806" w:rsidRDefault="00A00806" w:rsidP="00A00806">
      <w:pPr>
        <w:spacing w:line="480" w:lineRule="auto"/>
        <w:jc w:val="center"/>
        <w:rPr>
          <w:rFonts w:ascii="Times New Roman" w:hAnsi="Times New Roman" w:cs="Times New Roman"/>
        </w:rPr>
      </w:pPr>
    </w:p>
    <w:p w14:paraId="2C1D5C58" w14:textId="77777777" w:rsidR="00A00806" w:rsidRDefault="00A00806" w:rsidP="00A00806">
      <w:pPr>
        <w:spacing w:line="480" w:lineRule="auto"/>
        <w:jc w:val="center"/>
        <w:rPr>
          <w:rFonts w:ascii="Times New Roman" w:hAnsi="Times New Roman" w:cs="Times New Roman"/>
        </w:rPr>
      </w:pPr>
    </w:p>
    <w:p w14:paraId="7D6C562F" w14:textId="77777777" w:rsidR="00A00806" w:rsidRDefault="00A00806" w:rsidP="00A00806">
      <w:pPr>
        <w:spacing w:line="480" w:lineRule="auto"/>
        <w:jc w:val="center"/>
        <w:rPr>
          <w:rFonts w:ascii="Times New Roman" w:hAnsi="Times New Roman" w:cs="Times New Roman"/>
        </w:rPr>
      </w:pPr>
    </w:p>
    <w:p w14:paraId="40334E72" w14:textId="77777777" w:rsidR="00A00806" w:rsidRDefault="00A00806" w:rsidP="00A00806">
      <w:pPr>
        <w:spacing w:line="480" w:lineRule="auto"/>
        <w:jc w:val="center"/>
        <w:rPr>
          <w:rFonts w:ascii="Times New Roman" w:hAnsi="Times New Roman" w:cs="Times New Roman"/>
        </w:rPr>
      </w:pPr>
    </w:p>
    <w:p w14:paraId="0B55518B" w14:textId="77777777" w:rsidR="00A00806" w:rsidRDefault="00A00806" w:rsidP="00A00806">
      <w:pPr>
        <w:spacing w:line="480" w:lineRule="auto"/>
        <w:jc w:val="center"/>
        <w:rPr>
          <w:rFonts w:ascii="Times New Roman" w:hAnsi="Times New Roman" w:cs="Times New Roman"/>
        </w:rPr>
      </w:pPr>
    </w:p>
    <w:p w14:paraId="4583BFFA" w14:textId="6A68BF1F" w:rsidR="00A00806" w:rsidRDefault="00A00806" w:rsidP="00A00806">
      <w:pPr>
        <w:rPr>
          <w:rFonts w:ascii="Times New Roman" w:hAnsi="Times New Roman" w:cs="Times New Roman"/>
        </w:rPr>
      </w:pPr>
      <w:r>
        <w:rPr>
          <w:rFonts w:ascii="Times New Roman" w:hAnsi="Times New Roman" w:cs="Times New Roman"/>
        </w:rPr>
        <w:br/>
      </w:r>
    </w:p>
    <w:p w14:paraId="141BCE8F" w14:textId="6ED9AAD6" w:rsidR="00A00806" w:rsidRDefault="00A00806" w:rsidP="00A00806">
      <w:pPr>
        <w:jc w:val="center"/>
        <w:rPr>
          <w:rFonts w:ascii="Times New Roman" w:hAnsi="Times New Roman" w:cs="Times New Roman"/>
          <w:u w:val="single"/>
        </w:rPr>
      </w:pPr>
      <w:r>
        <w:rPr>
          <w:rFonts w:ascii="Times New Roman" w:hAnsi="Times New Roman" w:cs="Times New Roman"/>
          <w:u w:val="single"/>
        </w:rPr>
        <w:lastRenderedPageBreak/>
        <w:t>Part I: Short Answer Section</w:t>
      </w:r>
    </w:p>
    <w:p w14:paraId="74DE4943" w14:textId="77777777" w:rsidR="00D2244F" w:rsidRDefault="00D2244F" w:rsidP="00A00806">
      <w:pPr>
        <w:jc w:val="center"/>
        <w:rPr>
          <w:rFonts w:ascii="Times New Roman" w:hAnsi="Times New Roman" w:cs="Times New Roman"/>
          <w:u w:val="single"/>
        </w:rPr>
      </w:pPr>
    </w:p>
    <w:p w14:paraId="0EAD75C5" w14:textId="05734579" w:rsidR="00D2244F" w:rsidRPr="00D2244F" w:rsidRDefault="00D2244F" w:rsidP="00D2244F">
      <w:pPr>
        <w:rPr>
          <w:rFonts w:ascii="Times New Roman" w:hAnsi="Times New Roman" w:cs="Times New Roman"/>
          <w:i/>
        </w:rPr>
      </w:pPr>
      <w:r w:rsidRPr="00D2244F">
        <w:rPr>
          <w:rFonts w:ascii="Times New Roman" w:hAnsi="Times New Roman" w:cs="Times New Roman"/>
          <w:i/>
        </w:rPr>
        <w:t>Note: Having surmised that ULPSP is a public university, I used the reporting structure of the University of Massachusetts – Boston as a template for the officers at the fictional ULPSP. At UMB, the Provost and Vice Chancellor for Academic Affairs is the chief academic officer; individual Deans head the faculty within the individual colleges, and they report to her. Per the assignment instructions, I have assumed the role of Provost and Vice Chancellor for Academic Affairs, and have specified when it would be necessary to include the individual Deans of Faculty for the individual colleges in which specific faculty teach.</w:t>
      </w:r>
    </w:p>
    <w:p w14:paraId="09D00212" w14:textId="77777777" w:rsidR="00A00806" w:rsidRDefault="00A00806" w:rsidP="00A00806">
      <w:pPr>
        <w:rPr>
          <w:rFonts w:ascii="Times New Roman" w:hAnsi="Times New Roman" w:cs="Times New Roman"/>
        </w:rPr>
      </w:pPr>
    </w:p>
    <w:p w14:paraId="17E3E0DB" w14:textId="77777777" w:rsidR="00992D80" w:rsidRPr="00EE76BD" w:rsidRDefault="00992D80" w:rsidP="00A00806">
      <w:pPr>
        <w:pStyle w:val="ListParagraph"/>
        <w:numPr>
          <w:ilvl w:val="0"/>
          <w:numId w:val="2"/>
        </w:numPr>
        <w:spacing w:line="480" w:lineRule="auto"/>
        <w:rPr>
          <w:rFonts w:ascii="Times New Roman" w:hAnsi="Times New Roman" w:cs="Times New Roman"/>
          <w:b/>
        </w:rPr>
      </w:pPr>
      <w:r w:rsidRPr="00EE76BD">
        <w:rPr>
          <w:rFonts w:ascii="Times New Roman" w:hAnsi="Times New Roman" w:cs="Times New Roman"/>
          <w:b/>
        </w:rPr>
        <w:t>Housing</w:t>
      </w:r>
    </w:p>
    <w:p w14:paraId="25692620" w14:textId="77777777" w:rsidR="00AC3C09" w:rsidRPr="00EE76BD" w:rsidRDefault="00992D80" w:rsidP="00A00806">
      <w:pPr>
        <w:spacing w:line="480" w:lineRule="auto"/>
        <w:ind w:firstLine="360"/>
        <w:rPr>
          <w:rFonts w:ascii="Times New Roman" w:hAnsi="Times New Roman" w:cs="Times New Roman"/>
        </w:rPr>
      </w:pPr>
      <w:r w:rsidRPr="00EE76BD">
        <w:rPr>
          <w:rFonts w:ascii="Times New Roman" w:hAnsi="Times New Roman" w:cs="Times New Roman"/>
        </w:rPr>
        <w:t>Here at ULPSP, we require firs</w:t>
      </w:r>
      <w:r w:rsidR="00AC3C09" w:rsidRPr="00EE76BD">
        <w:rPr>
          <w:rFonts w:ascii="Times New Roman" w:hAnsi="Times New Roman" w:cs="Times New Roman"/>
        </w:rPr>
        <w:t>t-year students to live in residence halls</w:t>
      </w:r>
      <w:r w:rsidRPr="00EE76BD">
        <w:rPr>
          <w:rFonts w:ascii="Times New Roman" w:hAnsi="Times New Roman" w:cs="Times New Roman"/>
        </w:rPr>
        <w:t xml:space="preserve"> for two reasons. One is the </w:t>
      </w:r>
      <w:r w:rsidR="00AC3C09" w:rsidRPr="00EE76BD">
        <w:rPr>
          <w:rFonts w:ascii="Times New Roman" w:hAnsi="Times New Roman" w:cs="Times New Roman"/>
        </w:rPr>
        <w:t>assertion</w:t>
      </w:r>
      <w:r w:rsidRPr="00EE76BD">
        <w:rPr>
          <w:rFonts w:ascii="Times New Roman" w:hAnsi="Times New Roman" w:cs="Times New Roman"/>
        </w:rPr>
        <w:t xml:space="preserve"> that living on campus assists with the adjustment to college life, and contributes to the holistic education experience we seek to provide our students. </w:t>
      </w:r>
      <w:r w:rsidR="00AC3C09" w:rsidRPr="00EE76BD">
        <w:rPr>
          <w:rFonts w:ascii="Times New Roman" w:hAnsi="Times New Roman" w:cs="Times New Roman"/>
        </w:rPr>
        <w:t xml:space="preserve">The other is that landlords in the surrounding community have a propensity to take advantage of younger students’ inexperience by overcharging them for off-campus housing and by failing to maintain their properties to state and city safety standards. ULPSP administrators believe it is best that students who wish to live off-campus after their first year be allowed to do so after attending a workshop intended to help them suitable off-campus housing and know their rights as tenants. </w:t>
      </w:r>
    </w:p>
    <w:p w14:paraId="1C35FA3E" w14:textId="641627C7" w:rsidR="00992D80" w:rsidRPr="00EE76BD" w:rsidRDefault="00AC3C09" w:rsidP="00A00806">
      <w:pPr>
        <w:spacing w:line="480" w:lineRule="auto"/>
        <w:ind w:firstLine="360"/>
        <w:rPr>
          <w:rFonts w:ascii="Times New Roman" w:hAnsi="Times New Roman" w:cs="Times New Roman"/>
        </w:rPr>
      </w:pPr>
      <w:r w:rsidRPr="00EE76BD">
        <w:rPr>
          <w:rFonts w:ascii="Times New Roman" w:hAnsi="Times New Roman" w:cs="Times New Roman"/>
        </w:rPr>
        <w:t>I recommend that we enforce the policy, particularly because first-generation students and cultural/ethnic minority students such as Sharon Lynch face additional challenges in adjusting to college life. It is true that these students experience financial stress and family demands that so-called “traditional” college students typically do not face. However, ULPSP believes the benefits of living on campus are key to students’ success. On-campus living is shown to increase retention among these populations because it provides them with, among other things, enhanced opportunities to build relationships with students and staff who form crucial supportive communities (</w:t>
      </w:r>
      <w:r w:rsidR="00593D81" w:rsidRPr="00EE76BD">
        <w:rPr>
          <w:rFonts w:ascii="Times New Roman" w:hAnsi="Times New Roman" w:cs="Times New Roman"/>
        </w:rPr>
        <w:t>Schudde</w:t>
      </w:r>
      <w:r w:rsidR="00593D81" w:rsidRPr="00EE76BD">
        <w:rPr>
          <w:rFonts w:ascii="Times New Roman" w:hAnsi="Times New Roman" w:cs="Times New Roman"/>
        </w:rPr>
        <w:t>, 2011</w:t>
      </w:r>
      <w:r w:rsidRPr="00EE76BD">
        <w:rPr>
          <w:rFonts w:ascii="Times New Roman" w:hAnsi="Times New Roman" w:cs="Times New Roman"/>
        </w:rPr>
        <w:t>). I would consult Financial Aid, in particular an official who knows where to find additional monies for minority students, to try to make up the financial difference for Ms. Lynch.</w:t>
      </w:r>
    </w:p>
    <w:p w14:paraId="1A79D85E" w14:textId="33A64C11" w:rsidR="00AC3C09" w:rsidRPr="00AC3C09" w:rsidRDefault="00AC3C09" w:rsidP="00A00806">
      <w:pPr>
        <w:spacing w:line="480" w:lineRule="auto"/>
        <w:ind w:firstLine="360"/>
        <w:rPr>
          <w:rFonts w:ascii="Times New Roman" w:hAnsi="Times New Roman" w:cs="Times New Roman"/>
        </w:rPr>
      </w:pPr>
      <w:r>
        <w:rPr>
          <w:rFonts w:ascii="Times New Roman" w:hAnsi="Times New Roman" w:cs="Times New Roman"/>
        </w:rPr>
        <w:t>Since we are a public institution, our policy may be challenged by students such as Ms. Lynch on the basis that they believe the policy violates their Fourteenth Amendment rights to privacy and freedom of association (Kaplin and Lee</w:t>
      </w:r>
      <w:r w:rsidR="00CA2044">
        <w:rPr>
          <w:rFonts w:ascii="Times New Roman" w:hAnsi="Times New Roman" w:cs="Times New Roman"/>
        </w:rPr>
        <w:t>, 2014</w:t>
      </w:r>
      <w:r>
        <w:rPr>
          <w:rFonts w:ascii="Times New Roman" w:hAnsi="Times New Roman" w:cs="Times New Roman"/>
        </w:rPr>
        <w:t xml:space="preserve">). Such a challenge occurred in </w:t>
      </w:r>
      <w:r w:rsidRPr="00AC3C09">
        <w:rPr>
          <w:rFonts w:ascii="Times New Roman" w:hAnsi="Times New Roman" w:cs="Times New Roman"/>
          <w:i/>
        </w:rPr>
        <w:t>Prostrollo v. University of South Dakota</w:t>
      </w:r>
      <w:r w:rsidRPr="00AC3C09">
        <w:rPr>
          <w:rFonts w:ascii="Times New Roman" w:hAnsi="Times New Roman" w:cs="Times New Roman"/>
        </w:rPr>
        <w:t>, 507 F.2d 775 (8th Cir. 1974).</w:t>
      </w:r>
      <w:r>
        <w:rPr>
          <w:rFonts w:ascii="Times New Roman" w:hAnsi="Times New Roman" w:cs="Times New Roman"/>
        </w:rPr>
        <w:t xml:space="preserve"> Were Ms. Lynch to challenge our housing policy, it is likely we could survive such a challenge if our argument, as in </w:t>
      </w:r>
      <w:r w:rsidRPr="00AC3C09">
        <w:rPr>
          <w:rFonts w:ascii="Times New Roman" w:hAnsi="Times New Roman" w:cs="Times New Roman"/>
          <w:i/>
        </w:rPr>
        <w:t>Prostrollo</w:t>
      </w:r>
      <w:r>
        <w:rPr>
          <w:rFonts w:ascii="Times New Roman" w:hAnsi="Times New Roman" w:cs="Times New Roman"/>
        </w:rPr>
        <w:t xml:space="preserve">, rests on educational purposes. To enforce the policy, I would first need to consult the </w:t>
      </w:r>
      <w:r w:rsidRPr="00AC3C09">
        <w:rPr>
          <w:rFonts w:ascii="Times New Roman" w:hAnsi="Times New Roman" w:cs="Times New Roman"/>
        </w:rPr>
        <w:t>Associate Director of Residential Education</w:t>
      </w:r>
      <w:r>
        <w:rPr>
          <w:rFonts w:ascii="Times New Roman" w:hAnsi="Times New Roman" w:cs="Times New Roman"/>
        </w:rPr>
        <w:t xml:space="preserve">, and possibly the Dean of Housing and Residential Life as well. They will likely support enforcing ULPSP’s housing policy as well. To support a second argument for ensuring students’ safety in off-campus housing, the Office of Off-Campus Partners would need to be contacted to supply past records indicating the need for supporting students in obtaining fairly priced and safe housing. </w:t>
      </w:r>
    </w:p>
    <w:p w14:paraId="5772E3C8" w14:textId="77777777" w:rsidR="00AC3C09" w:rsidRPr="00AC3C09" w:rsidRDefault="00AC3C09" w:rsidP="00AC3C09">
      <w:pPr>
        <w:rPr>
          <w:rFonts w:ascii="Times New Roman" w:hAnsi="Times New Roman" w:cs="Times New Roman"/>
        </w:rPr>
      </w:pPr>
    </w:p>
    <w:p w14:paraId="5DCDD757" w14:textId="77777777" w:rsidR="00992D80" w:rsidRPr="00EE76BD" w:rsidRDefault="00992D80" w:rsidP="00BF70F8">
      <w:pPr>
        <w:pStyle w:val="ListParagraph"/>
        <w:numPr>
          <w:ilvl w:val="0"/>
          <w:numId w:val="2"/>
        </w:numPr>
        <w:spacing w:line="480" w:lineRule="auto"/>
        <w:rPr>
          <w:rFonts w:ascii="Times New Roman" w:hAnsi="Times New Roman" w:cs="Times New Roman"/>
          <w:b/>
        </w:rPr>
      </w:pPr>
      <w:r w:rsidRPr="00EE76BD">
        <w:rPr>
          <w:rFonts w:ascii="Times New Roman" w:hAnsi="Times New Roman" w:cs="Times New Roman"/>
          <w:b/>
        </w:rPr>
        <w:t>Admissions</w:t>
      </w:r>
    </w:p>
    <w:p w14:paraId="57D29003" w14:textId="0A3D897C" w:rsidR="00AC3C09" w:rsidRDefault="00AC3C09" w:rsidP="00BF70F8">
      <w:pPr>
        <w:spacing w:line="480" w:lineRule="auto"/>
        <w:ind w:firstLine="360"/>
        <w:rPr>
          <w:rFonts w:ascii="Times New Roman" w:hAnsi="Times New Roman" w:cs="Times New Roman"/>
        </w:rPr>
      </w:pPr>
      <w:r w:rsidRPr="00AC3C09">
        <w:rPr>
          <w:rFonts w:ascii="Times New Roman" w:hAnsi="Times New Roman" w:cs="Times New Roman"/>
        </w:rPr>
        <w:t xml:space="preserve">Ms. Lynch and Ms. Wong’s concerns regarding their admission decisions by </w:t>
      </w:r>
      <w:r>
        <w:rPr>
          <w:rFonts w:ascii="Times New Roman" w:hAnsi="Times New Roman" w:cs="Times New Roman"/>
        </w:rPr>
        <w:t xml:space="preserve">ULPSP may be influenced by the ongoing case alleging discrimination on the basis of race by Harvard University admissions (Anderson, 2018). As Ms. Wong identified her race as Asian on her application to the university, she may be wondering whether she is experiencing the same type of discrimination alleged in </w:t>
      </w:r>
      <w:r w:rsidRPr="00AC3C09">
        <w:rPr>
          <w:rFonts w:ascii="Times New Roman" w:hAnsi="Times New Roman" w:cs="Times New Roman"/>
          <w:i/>
        </w:rPr>
        <w:t>Students For Fair Admissions vs. Harvard College</w:t>
      </w:r>
      <w:r>
        <w:rPr>
          <w:rFonts w:ascii="Times New Roman" w:hAnsi="Times New Roman" w:cs="Times New Roman"/>
        </w:rPr>
        <w:t xml:space="preserve"> (D.Mass. 2014). </w:t>
      </w:r>
      <w:r w:rsidR="00B86EC4">
        <w:rPr>
          <w:rFonts w:ascii="Times New Roman" w:hAnsi="Times New Roman" w:cs="Times New Roman"/>
        </w:rPr>
        <w:t>The plaintiff, Students For Fair Admissions, argues that one of Harvard’s admissions criteria unfairly disadvantages Asian students based on racial stereotypes of Asians. The so-called “likeability” score is a subjective admissions criterion and is made based on the individual interviewer’s perceptions and assumptions, which are necessarily colored by that person’s cultural perspective</w:t>
      </w:r>
      <w:r w:rsidR="004E1B30">
        <w:rPr>
          <w:rFonts w:ascii="Times New Roman" w:hAnsi="Times New Roman" w:cs="Times New Roman"/>
        </w:rPr>
        <w:t xml:space="preserve"> (</w:t>
      </w:r>
      <w:r w:rsidR="00CA2044">
        <w:rPr>
          <w:rFonts w:ascii="Times New Roman" w:hAnsi="Times New Roman" w:cs="Times New Roman"/>
        </w:rPr>
        <w:t>Soodik, 2018</w:t>
      </w:r>
      <w:r w:rsidR="004E1B30">
        <w:rPr>
          <w:rFonts w:ascii="Times New Roman" w:hAnsi="Times New Roman" w:cs="Times New Roman"/>
        </w:rPr>
        <w:t>)</w:t>
      </w:r>
      <w:r w:rsidR="00B86EC4">
        <w:rPr>
          <w:rFonts w:ascii="Times New Roman" w:hAnsi="Times New Roman" w:cs="Times New Roman"/>
        </w:rPr>
        <w:t>. Dominant American culture preferences students who are extroverted and personable. Students who seem unsociable and aloof can receive low scores in this criterion. Yet Asian students can seem this way to interviewers who lack competency in Asian cultures, which tend to value communitarian traits such as deference and self-control (</w:t>
      </w:r>
      <w:r w:rsidR="00B86EC4" w:rsidRPr="00B86EC4">
        <w:rPr>
          <w:rFonts w:ascii="Times New Roman" w:hAnsi="Times New Roman" w:cs="Times New Roman"/>
        </w:rPr>
        <w:t>Carteret</w:t>
      </w:r>
      <w:r w:rsidR="00CA2044">
        <w:rPr>
          <w:rFonts w:ascii="Times New Roman" w:hAnsi="Times New Roman" w:cs="Times New Roman"/>
        </w:rPr>
        <w:t>, 2010</w:t>
      </w:r>
      <w:r w:rsidR="00B86EC4">
        <w:rPr>
          <w:rFonts w:ascii="Times New Roman" w:hAnsi="Times New Roman" w:cs="Times New Roman"/>
        </w:rPr>
        <w:t>).</w:t>
      </w:r>
    </w:p>
    <w:p w14:paraId="76185133" w14:textId="0CF063E2" w:rsidR="00B86EC4" w:rsidRDefault="00B86EC4" w:rsidP="00BF70F8">
      <w:pPr>
        <w:spacing w:line="480" w:lineRule="auto"/>
        <w:ind w:firstLine="360"/>
        <w:rPr>
          <w:rFonts w:ascii="Times New Roman" w:hAnsi="Times New Roman" w:cs="Times New Roman"/>
        </w:rPr>
      </w:pPr>
      <w:r>
        <w:rPr>
          <w:rFonts w:ascii="Times New Roman" w:hAnsi="Times New Roman" w:cs="Times New Roman"/>
        </w:rPr>
        <w:t>The plaintiff in the Harvard</w:t>
      </w:r>
      <w:r w:rsidR="00AC3C09">
        <w:rPr>
          <w:rFonts w:ascii="Times New Roman" w:hAnsi="Times New Roman" w:cs="Times New Roman"/>
        </w:rPr>
        <w:t xml:space="preserve"> case brings a challenge on the basis of the equal protection clause of the Fourteenth Amendment to the federal Co</w:t>
      </w:r>
      <w:r w:rsidR="00CA2044">
        <w:rPr>
          <w:rFonts w:ascii="Times New Roman" w:hAnsi="Times New Roman" w:cs="Times New Roman"/>
        </w:rPr>
        <w:t>nstitution (Kaplin and Lee, 2014</w:t>
      </w:r>
      <w:r w:rsidR="00AC3C09">
        <w:rPr>
          <w:rFonts w:ascii="Times New Roman" w:hAnsi="Times New Roman" w:cs="Times New Roman"/>
        </w:rPr>
        <w:t xml:space="preserve">). As courts have shown in </w:t>
      </w:r>
      <w:r w:rsidR="00AC3C09" w:rsidRPr="00AC3C09">
        <w:rPr>
          <w:rFonts w:ascii="Times New Roman" w:hAnsi="Times New Roman" w:cs="Times New Roman"/>
          <w:i/>
        </w:rPr>
        <w:t>Brown vs. Board of Education</w:t>
      </w:r>
      <w:r w:rsidR="00AC3C09">
        <w:rPr>
          <w:rFonts w:ascii="Times New Roman" w:hAnsi="Times New Roman" w:cs="Times New Roman"/>
          <w:i/>
        </w:rPr>
        <w:t>,</w:t>
      </w:r>
      <w:r w:rsidR="00AC3C09">
        <w:rPr>
          <w:rFonts w:ascii="Times New Roman" w:hAnsi="Times New Roman" w:cs="Times New Roman"/>
        </w:rPr>
        <w:t xml:space="preserve"> 347 U.S. 483 (1954) and </w:t>
      </w:r>
      <w:r w:rsidR="00AC3C09" w:rsidRPr="00AC3C09">
        <w:rPr>
          <w:rFonts w:ascii="Times New Roman" w:hAnsi="Times New Roman" w:cs="Times New Roman"/>
          <w:i/>
        </w:rPr>
        <w:t>Florida ex rel. Hawkins v. Board of Control</w:t>
      </w:r>
      <w:r w:rsidR="00AC3C09">
        <w:rPr>
          <w:rFonts w:ascii="Times New Roman" w:hAnsi="Times New Roman" w:cs="Times New Roman"/>
        </w:rPr>
        <w:t>, 350 U.S. 413 (1956), public institutions of higher education may not discriminate in admissions on the bas</w:t>
      </w:r>
      <w:r w:rsidR="00CA2044">
        <w:rPr>
          <w:rFonts w:ascii="Times New Roman" w:hAnsi="Times New Roman" w:cs="Times New Roman"/>
        </w:rPr>
        <w:t>is of race (Kaplin and Lee, 2014</w:t>
      </w:r>
      <w:r w:rsidR="00AC3C09">
        <w:rPr>
          <w:rFonts w:ascii="Times New Roman" w:hAnsi="Times New Roman" w:cs="Times New Roman"/>
        </w:rPr>
        <w:t xml:space="preserve">). Challenges could also be brought under Section 1981 of the </w:t>
      </w:r>
      <w:r w:rsidR="00AC3C09" w:rsidRPr="00AC3C09">
        <w:rPr>
          <w:rFonts w:ascii="Times New Roman" w:hAnsi="Times New Roman" w:cs="Times New Roman"/>
        </w:rPr>
        <w:t>the Civil Rights Act of 1866</w:t>
      </w:r>
      <w:r w:rsidR="00AC3C09">
        <w:rPr>
          <w:rFonts w:ascii="Times New Roman" w:hAnsi="Times New Roman" w:cs="Times New Roman"/>
        </w:rPr>
        <w:t xml:space="preserve">, which protects the right of all people to freely contract regardless of race, and IRS </w:t>
      </w:r>
      <w:r w:rsidR="00AC3C09" w:rsidRPr="00AC3C09">
        <w:rPr>
          <w:rFonts w:ascii="Times New Roman" w:hAnsi="Times New Roman" w:cs="Times New Roman"/>
        </w:rPr>
        <w:t>Revenue Ruling 71447, 1971-2 C.B. 230</w:t>
      </w:r>
      <w:r w:rsidR="00AC3C09">
        <w:rPr>
          <w:rFonts w:ascii="Times New Roman" w:hAnsi="Times New Roman" w:cs="Times New Roman"/>
        </w:rPr>
        <w:t xml:space="preserve">, which prohibits educational institutions from receiving tax monies if they engage in discrimination. </w:t>
      </w:r>
      <w:r w:rsidR="00AC3C09" w:rsidRPr="00AC3C09">
        <w:rPr>
          <w:rFonts w:ascii="Times New Roman" w:hAnsi="Times New Roman" w:cs="Times New Roman"/>
        </w:rPr>
        <w:t xml:space="preserve">Title VI </w:t>
      </w:r>
      <w:r w:rsidR="00AC3C09">
        <w:rPr>
          <w:rFonts w:ascii="Times New Roman" w:hAnsi="Times New Roman" w:cs="Times New Roman"/>
        </w:rPr>
        <w:t>of the Civil Rights Act of 1964 may also be used to bring a challenge, as it prohibits institutions of any kind that receive public funds from discriminating on the basis of race. However, the statute of limitations for Title VI claims is two years, while the statute of limitations for Section 1981 claims is two years. It is most likely that a challenge would be brought on the basis of the Fourteenth Amendment and Section 1981. However, Kaplin and Lee note that “t</w:t>
      </w:r>
      <w:r w:rsidR="00AC3C09" w:rsidRPr="00AC3C09">
        <w:rPr>
          <w:rFonts w:ascii="Times New Roman" w:hAnsi="Times New Roman" w:cs="Times New Roman"/>
        </w:rPr>
        <w:t>o prevail in a Section 1981 claim, therefore, a plaintiff must prove that the defendant intentionally or purposefully</w:t>
      </w:r>
      <w:r>
        <w:rPr>
          <w:rFonts w:ascii="Times New Roman" w:hAnsi="Times New Roman" w:cs="Times New Roman"/>
        </w:rPr>
        <w:t xml:space="preserve"> engaged in discriminatory acts</w:t>
      </w:r>
      <w:r w:rsidR="00AC3C09">
        <w:rPr>
          <w:rFonts w:ascii="Times New Roman" w:hAnsi="Times New Roman" w:cs="Times New Roman"/>
        </w:rPr>
        <w:t>”</w:t>
      </w:r>
      <w:r w:rsidR="00CA2044">
        <w:rPr>
          <w:rFonts w:ascii="Times New Roman" w:hAnsi="Times New Roman" w:cs="Times New Roman"/>
        </w:rPr>
        <w:t xml:space="preserve"> (2014</w:t>
      </w:r>
      <w:r w:rsidR="00AC3C09">
        <w:rPr>
          <w:rFonts w:ascii="Times New Roman" w:hAnsi="Times New Roman" w:cs="Times New Roman"/>
        </w:rPr>
        <w:t>, 174)</w:t>
      </w:r>
      <w:r>
        <w:rPr>
          <w:rFonts w:ascii="Times New Roman" w:hAnsi="Times New Roman" w:cs="Times New Roman"/>
        </w:rPr>
        <w:t xml:space="preserve"> based on their analysis of </w:t>
      </w:r>
      <w:r w:rsidRPr="00B86EC4">
        <w:rPr>
          <w:rFonts w:ascii="Times New Roman" w:hAnsi="Times New Roman" w:cs="Times New Roman"/>
          <w:i/>
        </w:rPr>
        <w:t>General Building Contractors Association. v. Pennsylvania</w:t>
      </w:r>
      <w:r w:rsidRPr="00B86EC4">
        <w:rPr>
          <w:rFonts w:ascii="Times New Roman" w:hAnsi="Times New Roman" w:cs="Times New Roman"/>
        </w:rPr>
        <w:t>, 458 U.S. 375 (1982)</w:t>
      </w:r>
      <w:r w:rsidR="00AC3C09">
        <w:rPr>
          <w:rFonts w:ascii="Times New Roman" w:hAnsi="Times New Roman" w:cs="Times New Roman"/>
        </w:rPr>
        <w:t xml:space="preserve">. It is more difficult to prove intentional discrimination on the basis of race in the admissions process without any records stating overtly that Ms. Wong’s denial was based on race. </w:t>
      </w:r>
      <w:r w:rsidR="00167F70">
        <w:rPr>
          <w:rFonts w:ascii="Times New Roman" w:hAnsi="Times New Roman" w:cs="Times New Roman"/>
        </w:rPr>
        <w:t>The Harvard College case will be important to watch in order to determine whether the type of admissions standard used by Harvard will withstand a constitutional challenge under the equal protection clause of the Fourteenth Amendment.</w:t>
      </w:r>
      <w:r>
        <w:rPr>
          <w:rFonts w:ascii="Times New Roman" w:hAnsi="Times New Roman" w:cs="Times New Roman"/>
        </w:rPr>
        <w:t xml:space="preserve"> This is relevant because ULPSP uses similar (but not identical) approach to admissions as Harvard. </w:t>
      </w:r>
      <w:r>
        <w:rPr>
          <w:rFonts w:ascii="Times New Roman" w:hAnsi="Times New Roman" w:cs="Times New Roman"/>
        </w:rPr>
        <w:t xml:space="preserve">Multiple plaintiffs in high-profile cases challenging affirmative action in college admissions have sought declarative and injunctive relief, for example, </w:t>
      </w:r>
      <w:r w:rsidRPr="00B86EC4">
        <w:rPr>
          <w:rFonts w:ascii="Times New Roman" w:hAnsi="Times New Roman" w:cs="Times New Roman"/>
          <w:i/>
        </w:rPr>
        <w:t>Gratz v. Bollinger</w:t>
      </w:r>
      <w:r w:rsidRPr="00B86EC4">
        <w:rPr>
          <w:rFonts w:ascii="Times New Roman" w:hAnsi="Times New Roman" w:cs="Times New Roman"/>
        </w:rPr>
        <w:t>, 539 U.S. 244 (2003)</w:t>
      </w:r>
      <w:r>
        <w:rPr>
          <w:rFonts w:ascii="Times New Roman" w:hAnsi="Times New Roman" w:cs="Times New Roman"/>
        </w:rPr>
        <w:t xml:space="preserve"> and </w:t>
      </w:r>
      <w:r w:rsidRPr="00B86EC4">
        <w:rPr>
          <w:rFonts w:ascii="Times New Roman" w:hAnsi="Times New Roman" w:cs="Times New Roman"/>
          <w:i/>
        </w:rPr>
        <w:t>DeFunis v. Odegaard</w:t>
      </w:r>
      <w:r w:rsidRPr="00B86EC4">
        <w:rPr>
          <w:rFonts w:ascii="Times New Roman" w:hAnsi="Times New Roman" w:cs="Times New Roman"/>
        </w:rPr>
        <w:t>, 507 P.2d 1169 (Wash. 1973)</w:t>
      </w:r>
      <w:r>
        <w:rPr>
          <w:rFonts w:ascii="Times New Roman" w:hAnsi="Times New Roman" w:cs="Times New Roman"/>
        </w:rPr>
        <w:t>. Unsuccessful defendants in these cases are ordered to admit the plaintiff</w:t>
      </w:r>
      <w:r w:rsidR="00CA2044">
        <w:rPr>
          <w:rFonts w:ascii="Times New Roman" w:hAnsi="Times New Roman" w:cs="Times New Roman"/>
        </w:rPr>
        <w:t xml:space="preserve"> (Kaplin and Lee, 2014)</w:t>
      </w:r>
      <w:r>
        <w:rPr>
          <w:rFonts w:ascii="Times New Roman" w:hAnsi="Times New Roman" w:cs="Times New Roman"/>
        </w:rPr>
        <w:t>.</w:t>
      </w:r>
      <w:r w:rsidR="00747095">
        <w:rPr>
          <w:rFonts w:ascii="Times New Roman" w:hAnsi="Times New Roman" w:cs="Times New Roman"/>
        </w:rPr>
        <w:t xml:space="preserve"> At the state level, Ms. Wong could also file a complaint with the Massachusetts </w:t>
      </w:r>
      <w:r w:rsidR="00747095" w:rsidRPr="00747095">
        <w:rPr>
          <w:rFonts w:ascii="Times New Roman" w:hAnsi="Times New Roman" w:cs="Times New Roman"/>
        </w:rPr>
        <w:t>Co</w:t>
      </w:r>
      <w:r w:rsidR="00747095">
        <w:rPr>
          <w:rFonts w:ascii="Times New Roman" w:hAnsi="Times New Roman" w:cs="Times New Roman"/>
        </w:rPr>
        <w:t>mmission Aga</w:t>
      </w:r>
      <w:r w:rsidR="002027F1">
        <w:rPr>
          <w:rFonts w:ascii="Times New Roman" w:hAnsi="Times New Roman" w:cs="Times New Roman"/>
        </w:rPr>
        <w:t>inst Discrimination per MGL 151B</w:t>
      </w:r>
      <w:r w:rsidR="00747095">
        <w:rPr>
          <w:rFonts w:ascii="Times New Roman" w:hAnsi="Times New Roman" w:cs="Times New Roman"/>
        </w:rPr>
        <w:t>.</w:t>
      </w:r>
    </w:p>
    <w:p w14:paraId="1ED14860" w14:textId="227D4E68" w:rsidR="00B86EC4" w:rsidRDefault="00B86EC4" w:rsidP="00BF70F8">
      <w:pPr>
        <w:spacing w:line="480" w:lineRule="auto"/>
        <w:ind w:firstLine="360"/>
        <w:rPr>
          <w:rFonts w:ascii="Times New Roman" w:hAnsi="Times New Roman" w:cs="Times New Roman"/>
        </w:rPr>
      </w:pPr>
      <w:r>
        <w:rPr>
          <w:rFonts w:ascii="Times New Roman" w:hAnsi="Times New Roman" w:cs="Times New Roman"/>
        </w:rPr>
        <w:t xml:space="preserve">My approach to a potential challenge to Ms. Wong’s admissions decision would be to query admissions data from the </w:t>
      </w:r>
      <w:r w:rsidRPr="00B86EC4">
        <w:rPr>
          <w:rFonts w:ascii="Times New Roman" w:hAnsi="Times New Roman" w:cs="Times New Roman"/>
        </w:rPr>
        <w:t>Director of Undergraduate Admissions</w:t>
      </w:r>
      <w:r>
        <w:rPr>
          <w:rFonts w:ascii="Times New Roman" w:hAnsi="Times New Roman" w:cs="Times New Roman"/>
        </w:rPr>
        <w:t xml:space="preserve"> and to consult with the Vice Chancellor and </w:t>
      </w:r>
      <w:r w:rsidRPr="00B86EC4">
        <w:rPr>
          <w:rFonts w:ascii="Times New Roman" w:hAnsi="Times New Roman" w:cs="Times New Roman"/>
        </w:rPr>
        <w:t>Assistant Vice Chancellor for Enrollment Management</w:t>
      </w:r>
      <w:r>
        <w:rPr>
          <w:rFonts w:ascii="Times New Roman" w:hAnsi="Times New Roman" w:cs="Times New Roman"/>
        </w:rPr>
        <w:t>. These individuals’ expertise would inform when and how to involve university council. They would likely recommend beginning to build a potential case to defend against a discrimination claim. As ULPSP uses many race-neutral criteria in admissions decisions, it is very unlikely that Ms. Wong’s admissions decision was made solely based on race. This is particularly true because our “objective” (numbers-based) admissions criteria are applied equally to all students. Yet I would urge that any internal investigation critically examine all subjective admissions criteria to ensure that observations and value judgments are not colored by cultural assumptions whenever possible.</w:t>
      </w:r>
    </w:p>
    <w:p w14:paraId="5E24E016" w14:textId="77777777" w:rsidR="00AC3C09" w:rsidRPr="00AC3C09" w:rsidRDefault="00AC3C09" w:rsidP="000573AB">
      <w:pPr>
        <w:rPr>
          <w:rFonts w:ascii="Times New Roman" w:hAnsi="Times New Roman" w:cs="Times New Roman"/>
        </w:rPr>
      </w:pPr>
    </w:p>
    <w:p w14:paraId="3CCB1500" w14:textId="256EF223" w:rsidR="00992D80" w:rsidRPr="00EE76BD" w:rsidRDefault="000573AB" w:rsidP="00BF70F8">
      <w:pPr>
        <w:pStyle w:val="ListParagraph"/>
        <w:numPr>
          <w:ilvl w:val="0"/>
          <w:numId w:val="2"/>
        </w:numPr>
        <w:spacing w:line="480" w:lineRule="auto"/>
        <w:rPr>
          <w:rFonts w:ascii="Times New Roman" w:hAnsi="Times New Roman" w:cs="Times New Roman"/>
          <w:b/>
        </w:rPr>
      </w:pPr>
      <w:r w:rsidRPr="00EE76BD">
        <w:rPr>
          <w:rFonts w:ascii="Times New Roman" w:hAnsi="Times New Roman" w:cs="Times New Roman"/>
          <w:b/>
        </w:rPr>
        <w:t xml:space="preserve">Protest Problems: Free Speech, </w:t>
      </w:r>
      <w:r w:rsidR="004D146F">
        <w:rPr>
          <w:rFonts w:ascii="Times New Roman" w:hAnsi="Times New Roman" w:cs="Times New Roman"/>
          <w:b/>
        </w:rPr>
        <w:t xml:space="preserve">Substance Use, </w:t>
      </w:r>
      <w:r w:rsidRPr="00EE76BD">
        <w:rPr>
          <w:rFonts w:ascii="Times New Roman" w:hAnsi="Times New Roman" w:cs="Times New Roman"/>
          <w:b/>
        </w:rPr>
        <w:t>Injury, and Due Process</w:t>
      </w:r>
    </w:p>
    <w:p w14:paraId="6C0D416E" w14:textId="7BA506C1" w:rsidR="000573AB" w:rsidRDefault="000573AB" w:rsidP="00BF70F8">
      <w:pPr>
        <w:spacing w:line="480" w:lineRule="auto"/>
        <w:ind w:firstLine="360"/>
        <w:rPr>
          <w:rFonts w:ascii="Times New Roman" w:hAnsi="Times New Roman" w:cs="Times New Roman"/>
        </w:rPr>
      </w:pPr>
      <w:r>
        <w:rPr>
          <w:rFonts w:ascii="Times New Roman" w:hAnsi="Times New Roman" w:cs="Times New Roman"/>
        </w:rPr>
        <w:t xml:space="preserve">The recent protest of </w:t>
      </w:r>
      <w:r w:rsidR="00747095">
        <w:rPr>
          <w:rFonts w:ascii="Times New Roman" w:hAnsi="Times New Roman" w:cs="Times New Roman"/>
        </w:rPr>
        <w:t xml:space="preserve">proposed </w:t>
      </w:r>
      <w:r>
        <w:rPr>
          <w:rFonts w:ascii="Times New Roman" w:hAnsi="Times New Roman" w:cs="Times New Roman"/>
        </w:rPr>
        <w:t xml:space="preserve">restriction of </w:t>
      </w:r>
      <w:r w:rsidR="00747095">
        <w:rPr>
          <w:rFonts w:ascii="Times New Roman" w:hAnsi="Times New Roman" w:cs="Times New Roman"/>
        </w:rPr>
        <w:t xml:space="preserve">recreational </w:t>
      </w:r>
      <w:r>
        <w:rPr>
          <w:rFonts w:ascii="Times New Roman" w:hAnsi="Times New Roman" w:cs="Times New Roman"/>
        </w:rPr>
        <w:t>marijuana use</w:t>
      </w:r>
      <w:r w:rsidR="004E1B30">
        <w:rPr>
          <w:rFonts w:ascii="Times New Roman" w:hAnsi="Times New Roman" w:cs="Times New Roman"/>
        </w:rPr>
        <w:t xml:space="preserve"> in </w:t>
      </w:r>
      <w:r w:rsidR="00747095">
        <w:rPr>
          <w:rFonts w:ascii="Times New Roman" w:hAnsi="Times New Roman" w:cs="Times New Roman"/>
        </w:rPr>
        <w:t>Boston</w:t>
      </w:r>
      <w:r w:rsidR="004E1B30">
        <w:rPr>
          <w:rFonts w:ascii="Times New Roman" w:hAnsi="Times New Roman" w:cs="Times New Roman"/>
        </w:rPr>
        <w:t xml:space="preserve"> has engendered multiple legal risks for ULPSP. The first series of risks </w:t>
      </w:r>
      <w:r w:rsidR="00747095">
        <w:rPr>
          <w:rFonts w:ascii="Times New Roman" w:hAnsi="Times New Roman" w:cs="Times New Roman"/>
        </w:rPr>
        <w:t xml:space="preserve">surrounds the arrest of </w:t>
      </w:r>
      <w:r w:rsidR="00747095" w:rsidRPr="00747095">
        <w:rPr>
          <w:rFonts w:ascii="Times New Roman" w:hAnsi="Times New Roman" w:cs="Times New Roman"/>
        </w:rPr>
        <w:t>Dr. Schmitz</w:t>
      </w:r>
      <w:r w:rsidR="00747095">
        <w:rPr>
          <w:rFonts w:ascii="Times New Roman" w:hAnsi="Times New Roman" w:cs="Times New Roman"/>
        </w:rPr>
        <w:t xml:space="preserve"> as reported by Sharon Lynch in the university’s student newspaper. </w:t>
      </w:r>
      <w:r w:rsidR="00747095" w:rsidRPr="00747095">
        <w:rPr>
          <w:rFonts w:ascii="Times New Roman" w:hAnsi="Times New Roman" w:cs="Times New Roman"/>
        </w:rPr>
        <w:t>Dr. Schmitz</w:t>
      </w:r>
      <w:r w:rsidR="00747095">
        <w:rPr>
          <w:rFonts w:ascii="Times New Roman" w:hAnsi="Times New Roman" w:cs="Times New Roman"/>
        </w:rPr>
        <w:t xml:space="preserve"> is a prominent member of the faculty and is known for his activism in the area of criminal justice reform. A coalition of activist groups, including Black Lives Matter Boston, had obtained a permit to demonstrate on City Hall Plaza. This included a plan to block the main entrance to City Hall with a picket line during morning rush hour. Per a prearranged agreement with the Boston Police Department, </w:t>
      </w:r>
      <w:r w:rsidR="00747095" w:rsidRPr="00747095">
        <w:rPr>
          <w:rFonts w:ascii="Times New Roman" w:hAnsi="Times New Roman" w:cs="Times New Roman"/>
        </w:rPr>
        <w:t>Dr. Schmitz</w:t>
      </w:r>
      <w:r w:rsidR="00747095">
        <w:rPr>
          <w:rFonts w:ascii="Times New Roman" w:hAnsi="Times New Roman" w:cs="Times New Roman"/>
        </w:rPr>
        <w:t xml:space="preserve"> planned to be arrested for refusing to leave the picket line. He was arrested, booked, and released on schedule; he posted his own bail. Yet after Ms. Lynch covered this typically routine demonstration of political theater in the student newspaper, </w:t>
      </w:r>
      <w:r w:rsidR="00747095" w:rsidRPr="00747095">
        <w:rPr>
          <w:rFonts w:ascii="Times New Roman" w:hAnsi="Times New Roman" w:cs="Times New Roman"/>
        </w:rPr>
        <w:t>Dr. Schmitz</w:t>
      </w:r>
      <w:r w:rsidR="00747095">
        <w:rPr>
          <w:rFonts w:ascii="Times New Roman" w:hAnsi="Times New Roman" w:cs="Times New Roman"/>
        </w:rPr>
        <w:t xml:space="preserve"> was dismissed by the university immediately. </w:t>
      </w:r>
    </w:p>
    <w:p w14:paraId="3262E032" w14:textId="00CD975A" w:rsidR="000573AB" w:rsidRDefault="00747095" w:rsidP="00BF70F8">
      <w:pPr>
        <w:spacing w:line="480" w:lineRule="auto"/>
        <w:rPr>
          <w:rFonts w:ascii="Times New Roman" w:hAnsi="Times New Roman" w:cs="Times New Roman"/>
        </w:rPr>
      </w:pPr>
      <w:r>
        <w:rPr>
          <w:rFonts w:ascii="Times New Roman" w:hAnsi="Times New Roman" w:cs="Times New Roman"/>
        </w:rPr>
        <w:tab/>
        <w:t xml:space="preserve">The dismissal of </w:t>
      </w:r>
      <w:r w:rsidRPr="00747095">
        <w:rPr>
          <w:rFonts w:ascii="Times New Roman" w:hAnsi="Times New Roman" w:cs="Times New Roman"/>
        </w:rPr>
        <w:t>Dr. Schmitz</w:t>
      </w:r>
      <w:r>
        <w:rPr>
          <w:rFonts w:ascii="Times New Roman" w:hAnsi="Times New Roman" w:cs="Times New Roman"/>
        </w:rPr>
        <w:t xml:space="preserve">, a tenured professor, raises two legal risks. First is the fact of his dismissal, which is </w:t>
      </w:r>
      <w:r w:rsidR="009F64EB">
        <w:rPr>
          <w:rFonts w:ascii="Times New Roman" w:hAnsi="Times New Roman" w:cs="Times New Roman"/>
        </w:rPr>
        <w:t xml:space="preserve">was executed without a hearing. Failure to hold a hearing, let alone provide adequate notice </w:t>
      </w:r>
      <w:r>
        <w:rPr>
          <w:rFonts w:ascii="Times New Roman" w:hAnsi="Times New Roman" w:cs="Times New Roman"/>
        </w:rPr>
        <w:t>a</w:t>
      </w:r>
      <w:r w:rsidR="009F64EB">
        <w:rPr>
          <w:rFonts w:ascii="Times New Roman" w:hAnsi="Times New Roman" w:cs="Times New Roman"/>
        </w:rPr>
        <w:t xml:space="preserve">nd opportunity for evidence to be presented, is not in accordance with federal due process rights (Kaplin and Lee, 2014). Furthermore, it violates the bargaining agreement reached by </w:t>
      </w:r>
      <w:r>
        <w:rPr>
          <w:rFonts w:ascii="Times New Roman" w:hAnsi="Times New Roman" w:cs="Times New Roman"/>
        </w:rPr>
        <w:t xml:space="preserve">Faculty Staff Union of ULPSP. It is very likely that the union will file a grievance against ULPSP Human Resources and the university official whose decision resulted in his firing, including a procedural due process claim. I would recommend notifying the </w:t>
      </w:r>
      <w:r w:rsidRPr="00747095">
        <w:rPr>
          <w:rFonts w:ascii="Times New Roman" w:hAnsi="Times New Roman" w:cs="Times New Roman"/>
        </w:rPr>
        <w:t>Director of Employee and Labor Relations</w:t>
      </w:r>
      <w:r>
        <w:rPr>
          <w:rFonts w:ascii="Times New Roman" w:hAnsi="Times New Roman" w:cs="Times New Roman"/>
        </w:rPr>
        <w:t xml:space="preserve"> and </w:t>
      </w:r>
      <w:r w:rsidRPr="00747095">
        <w:rPr>
          <w:rFonts w:ascii="Times New Roman" w:hAnsi="Times New Roman" w:cs="Times New Roman"/>
        </w:rPr>
        <w:t>Assistant Vice Chancellor for Human Resources</w:t>
      </w:r>
      <w:r>
        <w:rPr>
          <w:rFonts w:ascii="Times New Roman" w:hAnsi="Times New Roman" w:cs="Times New Roman"/>
        </w:rPr>
        <w:t xml:space="preserve"> immediately, and allowing them to work with university counsel to resolve the matter. </w:t>
      </w:r>
    </w:p>
    <w:p w14:paraId="51F724D7" w14:textId="114D2D5E" w:rsidR="000B58EE" w:rsidRDefault="00747095" w:rsidP="00BF70F8">
      <w:pPr>
        <w:spacing w:line="480" w:lineRule="auto"/>
        <w:rPr>
          <w:rFonts w:ascii="Times New Roman" w:hAnsi="Times New Roman" w:cs="Times New Roman"/>
        </w:rPr>
      </w:pPr>
      <w:r>
        <w:rPr>
          <w:rFonts w:ascii="Times New Roman" w:hAnsi="Times New Roman" w:cs="Times New Roman"/>
        </w:rPr>
        <w:tab/>
        <w:t xml:space="preserve">The second legal risk raised by </w:t>
      </w:r>
      <w:r w:rsidRPr="00747095">
        <w:rPr>
          <w:rFonts w:ascii="Times New Roman" w:hAnsi="Times New Roman" w:cs="Times New Roman"/>
        </w:rPr>
        <w:t>Dr. Schmitz</w:t>
      </w:r>
      <w:r>
        <w:rPr>
          <w:rFonts w:ascii="Times New Roman" w:hAnsi="Times New Roman" w:cs="Times New Roman"/>
        </w:rPr>
        <w:t>’s dismissal is the reason for the dismissal. Should Human Resources’ (HR’s) investigation reveal that the reason for the dismissal was his arrest at the protest, he could bring a legal challenge on the basis of his federal First Amendment right to free speech. His actions in picketing and choosing to be arrested constitute protected speech under the First Ame</w:t>
      </w:r>
      <w:r w:rsidR="000B58EE">
        <w:rPr>
          <w:rFonts w:ascii="Times New Roman" w:hAnsi="Times New Roman" w:cs="Times New Roman"/>
        </w:rPr>
        <w:t>ndment to the Constitution (Kaplin and Lee, 2014, 603</w:t>
      </w:r>
      <w:r>
        <w:rPr>
          <w:rFonts w:ascii="Times New Roman" w:hAnsi="Times New Roman" w:cs="Times New Roman"/>
        </w:rPr>
        <w:t xml:space="preserve">). ULPSP’s guidance memorandum on political activity states that the only restrictions to </w:t>
      </w:r>
      <w:r w:rsidRPr="00747095">
        <w:rPr>
          <w:rFonts w:ascii="Times New Roman" w:hAnsi="Times New Roman" w:cs="Times New Roman"/>
        </w:rPr>
        <w:t>Dr. Schmitz</w:t>
      </w:r>
      <w:r>
        <w:rPr>
          <w:rFonts w:ascii="Times New Roman" w:hAnsi="Times New Roman" w:cs="Times New Roman"/>
        </w:rPr>
        <w:t xml:space="preserve">’s political activity include fundraising for candidates, advising them on fundraising strategies, and using ULPSP’s office supplies for campaign purposes (see Appendix A). All other activities, especially when conducted on his own time and not on university property, are protected. If </w:t>
      </w:r>
      <w:r w:rsidRPr="00747095">
        <w:rPr>
          <w:rFonts w:ascii="Times New Roman" w:hAnsi="Times New Roman" w:cs="Times New Roman"/>
        </w:rPr>
        <w:t>Dr. Schmitz</w:t>
      </w:r>
      <w:r>
        <w:rPr>
          <w:rFonts w:ascii="Times New Roman" w:hAnsi="Times New Roman" w:cs="Times New Roman"/>
        </w:rPr>
        <w:t xml:space="preserve"> were engaging in speech about this controversial issue in the classroom, that might have been a different circumstance. In </w:t>
      </w:r>
      <w:r w:rsidRPr="00747095">
        <w:rPr>
          <w:rFonts w:ascii="Times New Roman" w:hAnsi="Times New Roman" w:cs="Times New Roman"/>
          <w:i/>
        </w:rPr>
        <w:t>Hardy v. Jefferson Community College</w:t>
      </w:r>
      <w:r w:rsidRPr="00747095">
        <w:rPr>
          <w:rFonts w:ascii="Times New Roman" w:hAnsi="Times New Roman" w:cs="Times New Roman"/>
        </w:rPr>
        <w:t>, 260 F.3d 671 (6th Cir. 2001)</w:t>
      </w:r>
      <w:r>
        <w:rPr>
          <w:rFonts w:ascii="Times New Roman" w:hAnsi="Times New Roman" w:cs="Times New Roman"/>
        </w:rPr>
        <w:t xml:space="preserve">, the court applied the </w:t>
      </w:r>
      <w:r w:rsidRPr="00747095">
        <w:rPr>
          <w:rFonts w:ascii="Times New Roman" w:hAnsi="Times New Roman" w:cs="Times New Roman"/>
          <w:i/>
        </w:rPr>
        <w:t>Pickering-Connick</w:t>
      </w:r>
      <w:r w:rsidRPr="00747095">
        <w:rPr>
          <w:rFonts w:ascii="Times New Roman" w:hAnsi="Times New Roman" w:cs="Times New Roman"/>
        </w:rPr>
        <w:t xml:space="preserve"> test</w:t>
      </w:r>
      <w:r>
        <w:rPr>
          <w:rFonts w:ascii="Times New Roman" w:hAnsi="Times New Roman" w:cs="Times New Roman"/>
        </w:rPr>
        <w:t xml:space="preserve"> to determine whether the speech was germane to the subject matter and the college “</w:t>
      </w:r>
      <w:r w:rsidRPr="00222E20">
        <w:rPr>
          <w:rFonts w:ascii="Times New Roman" w:hAnsi="Times New Roman" w:cs="Times New Roman"/>
        </w:rPr>
        <w:t xml:space="preserve">balanced </w:t>
      </w:r>
      <w:r>
        <w:rPr>
          <w:rFonts w:ascii="Times New Roman" w:hAnsi="Times New Roman" w:cs="Times New Roman"/>
        </w:rPr>
        <w:t>[</w:t>
      </w:r>
      <w:r>
        <w:rPr>
          <w:rFonts w:ascii="Times New Roman" w:hAnsi="Times New Roman" w:cs="Times New Roman"/>
        </w:rPr>
        <w:t>faculty</w:t>
      </w:r>
      <w:r>
        <w:rPr>
          <w:rFonts w:ascii="Times New Roman" w:hAnsi="Times New Roman" w:cs="Times New Roman"/>
        </w:rPr>
        <w:t>]</w:t>
      </w:r>
      <w:r w:rsidRPr="00222E20">
        <w:rPr>
          <w:rFonts w:ascii="Times New Roman" w:hAnsi="Times New Roman" w:cs="Times New Roman"/>
        </w:rPr>
        <w:t xml:space="preserve"> interest in speaking on a matter of public concern against the college’s interest in efficiently providing services to its students and the community</w:t>
      </w:r>
      <w:r>
        <w:rPr>
          <w:rFonts w:ascii="Times New Roman" w:hAnsi="Times New Roman" w:cs="Times New Roman"/>
        </w:rPr>
        <w:t xml:space="preserve">” (Kaplin and Lee, 2014, 321). If so, then the speech is protected by the First Amendment. However, as the speech in question did not take place in a classroom setting, a legal challenge to the reason for </w:t>
      </w:r>
      <w:r w:rsidRPr="00747095">
        <w:rPr>
          <w:rFonts w:ascii="Times New Roman" w:hAnsi="Times New Roman" w:cs="Times New Roman"/>
        </w:rPr>
        <w:t>Dr. Schmitz</w:t>
      </w:r>
      <w:r>
        <w:rPr>
          <w:rFonts w:ascii="Times New Roman" w:hAnsi="Times New Roman" w:cs="Times New Roman"/>
        </w:rPr>
        <w:t>’s dismissal would likely succeed. He would likely seek injunctive relief in the form of an order to be reinstated in his position.</w:t>
      </w:r>
    </w:p>
    <w:p w14:paraId="58D219C8" w14:textId="4A5E35B6" w:rsidR="000B58EE" w:rsidRDefault="000B58EE" w:rsidP="00BF70F8">
      <w:pPr>
        <w:spacing w:line="480" w:lineRule="auto"/>
        <w:rPr>
          <w:rFonts w:ascii="Times New Roman" w:hAnsi="Times New Roman" w:cs="Times New Roman"/>
        </w:rPr>
      </w:pPr>
      <w:r>
        <w:rPr>
          <w:rFonts w:ascii="Times New Roman" w:hAnsi="Times New Roman" w:cs="Times New Roman"/>
        </w:rPr>
        <w:tab/>
        <w:t xml:space="preserve">In regard to both challenges to </w:t>
      </w:r>
      <w:r w:rsidRPr="00747095">
        <w:rPr>
          <w:rFonts w:ascii="Times New Roman" w:hAnsi="Times New Roman" w:cs="Times New Roman"/>
        </w:rPr>
        <w:t>Dr. Schmitz</w:t>
      </w:r>
      <w:r>
        <w:rPr>
          <w:rFonts w:ascii="Times New Roman" w:hAnsi="Times New Roman" w:cs="Times New Roman"/>
        </w:rPr>
        <w:t>’s dismissal</w:t>
      </w:r>
      <w:r>
        <w:rPr>
          <w:rFonts w:ascii="Times New Roman" w:hAnsi="Times New Roman" w:cs="Times New Roman"/>
        </w:rPr>
        <w:t xml:space="preserve">, I would contact the Dean of the college in which </w:t>
      </w:r>
      <w:r w:rsidRPr="00747095">
        <w:rPr>
          <w:rFonts w:ascii="Times New Roman" w:hAnsi="Times New Roman" w:cs="Times New Roman"/>
        </w:rPr>
        <w:t>Dr. Schmitz</w:t>
      </w:r>
      <w:r>
        <w:rPr>
          <w:rFonts w:ascii="Times New Roman" w:hAnsi="Times New Roman" w:cs="Times New Roman"/>
        </w:rPr>
        <w:t xml:space="preserve"> teaches and urge that a letter be sent to the campus community as soon as possible. As Black Lives Matter was involved in this protest, and due to the ongoing contested nature of marijuana use on campus, it is imperative that the university remind all campus constituents that it supports their right to free speech without retaliation for their expression. </w:t>
      </w:r>
    </w:p>
    <w:p w14:paraId="101D1623" w14:textId="77777777" w:rsidR="000D5A1D" w:rsidRDefault="000B58EE" w:rsidP="00BF70F8">
      <w:pPr>
        <w:spacing w:line="480" w:lineRule="auto"/>
        <w:rPr>
          <w:rFonts w:ascii="Times New Roman" w:hAnsi="Times New Roman" w:cs="Times New Roman"/>
        </w:rPr>
      </w:pPr>
      <w:r>
        <w:rPr>
          <w:rFonts w:ascii="Times New Roman" w:hAnsi="Times New Roman" w:cs="Times New Roman"/>
        </w:rPr>
        <w:tab/>
        <w:t xml:space="preserve">Another issue raised at the protest occurred separately from </w:t>
      </w:r>
      <w:r w:rsidRPr="00747095">
        <w:rPr>
          <w:rFonts w:ascii="Times New Roman" w:hAnsi="Times New Roman" w:cs="Times New Roman"/>
        </w:rPr>
        <w:t>Dr. Schmitz</w:t>
      </w:r>
      <w:r>
        <w:rPr>
          <w:rFonts w:ascii="Times New Roman" w:hAnsi="Times New Roman" w:cs="Times New Roman"/>
        </w:rPr>
        <w:t>’</w:t>
      </w:r>
      <w:r>
        <w:rPr>
          <w:rFonts w:ascii="Times New Roman" w:hAnsi="Times New Roman" w:cs="Times New Roman"/>
        </w:rPr>
        <w:t xml:space="preserve">s involvement and arrest. The protest parade preceding the City Hall demonstration involved floats. Three ULPSP students were riding a float and were high on marijuana at the time. After falling off the float, all three are injured; one is seriously injured and remains in a coma at Massachusetts General Hospital. While the protest parade took place off-campus, there is still a possibility for an injury lawsuit, should the students’ parents choose to pursue one. Fortunately, the legal risk to the university in this matter is low. All of the students had reached the age of majority. Furthermore, ULPSP requires that all students complete a mandatory drug and alcohol abuse prevention training in their first semester of attendance. If they fail to complete it, an administrative hold is placed on their account that prevents them from registering for future classes. University records show that all three students completed the training program. ULPSP can demonstrate that it fulfilled its duty of care to the students by ensuring they were informed regarding drug and alcohol safety. </w:t>
      </w:r>
    </w:p>
    <w:p w14:paraId="1FDD96CF" w14:textId="6BE1203F" w:rsidR="000B58EE" w:rsidRDefault="000D5A1D" w:rsidP="00BF70F8">
      <w:pPr>
        <w:spacing w:line="480" w:lineRule="auto"/>
        <w:ind w:firstLine="360"/>
        <w:rPr>
          <w:rFonts w:ascii="Times New Roman" w:hAnsi="Times New Roman" w:cs="Times New Roman"/>
        </w:rPr>
      </w:pPr>
      <w:r>
        <w:rPr>
          <w:rFonts w:ascii="Times New Roman" w:hAnsi="Times New Roman" w:cs="Times New Roman"/>
        </w:rPr>
        <w:t>As the university properly and promptly informed the students of the risks of drug use, contributory negligence on the students’ part would prevent a civil action from succeeding. In addition, t</w:t>
      </w:r>
      <w:r w:rsidR="000B58EE">
        <w:rPr>
          <w:rFonts w:ascii="Times New Roman" w:hAnsi="Times New Roman" w:cs="Times New Roman"/>
        </w:rPr>
        <w:t>he fall was an accident</w:t>
      </w:r>
      <w:r>
        <w:rPr>
          <w:rFonts w:ascii="Times New Roman" w:hAnsi="Times New Roman" w:cs="Times New Roman"/>
        </w:rPr>
        <w:t xml:space="preserve"> and did not occur on university property. Therefore, a civil action taken against the university would fail the </w:t>
      </w:r>
      <w:r w:rsidRPr="000D5A1D">
        <w:rPr>
          <w:rFonts w:ascii="Times New Roman" w:hAnsi="Times New Roman" w:cs="Times New Roman"/>
          <w:i/>
        </w:rPr>
        <w:t>but for</w:t>
      </w:r>
      <w:r>
        <w:rPr>
          <w:rFonts w:ascii="Times New Roman" w:hAnsi="Times New Roman" w:cs="Times New Roman"/>
        </w:rPr>
        <w:t xml:space="preserve"> test (Lake, 2011), as</w:t>
      </w:r>
      <w:r w:rsidR="000B58EE">
        <w:rPr>
          <w:rFonts w:ascii="Times New Roman" w:hAnsi="Times New Roman" w:cs="Times New Roman"/>
        </w:rPr>
        <w:t xml:space="preserve"> the proximate cause of injury cannot reasonably be attributed to the university. Although one case, </w:t>
      </w:r>
      <w:r w:rsidR="000B58EE" w:rsidRPr="000B58EE">
        <w:rPr>
          <w:rFonts w:ascii="Times New Roman" w:hAnsi="Times New Roman" w:cs="Times New Roman"/>
          <w:i/>
        </w:rPr>
        <w:t>Knoll v. Board of Regents of the University of Nebraska</w:t>
      </w:r>
      <w:r w:rsidR="000B58EE" w:rsidRPr="000B58EE">
        <w:rPr>
          <w:rFonts w:ascii="Times New Roman" w:hAnsi="Times New Roman" w:cs="Times New Roman"/>
        </w:rPr>
        <w:t>, 601 N.W.2d 757 (1999)</w:t>
      </w:r>
      <w:r w:rsidR="000B58EE">
        <w:rPr>
          <w:rFonts w:ascii="Times New Roman" w:hAnsi="Times New Roman" w:cs="Times New Roman"/>
        </w:rPr>
        <w:t>, considered liability for off-campus injury, in this case the incident began on university property and was addressed in the university’s hazing policy for fraternities. However, neither Greek organizations nor university property are implicated in the situation at hand. Even if tort charges against ULPSP could be successful, as a public institution of higher education, it would be protected by sovereign immunity, and therefore damages awarded would be subject to the Massachusetts tort cap</w:t>
      </w:r>
      <w:r w:rsidR="003C54EA">
        <w:rPr>
          <w:rFonts w:ascii="Times New Roman" w:hAnsi="Times New Roman" w:cs="Times New Roman"/>
        </w:rPr>
        <w:t xml:space="preserve"> (Kaplin and Lee, 2014)</w:t>
      </w:r>
      <w:r w:rsidR="000B58EE">
        <w:rPr>
          <w:rFonts w:ascii="Times New Roman" w:hAnsi="Times New Roman" w:cs="Times New Roman"/>
        </w:rPr>
        <w:t>.</w:t>
      </w:r>
      <w:r>
        <w:rPr>
          <w:rFonts w:ascii="Times New Roman" w:hAnsi="Times New Roman" w:cs="Times New Roman"/>
        </w:rPr>
        <w:t xml:space="preserve"> Were the injured students’ families to take action against the activist organization(s) the built the float, those organization(s) would, as 501(c)3 nonprofits, be protected by charitable immunity (Kaplin and Lee, 2014).</w:t>
      </w:r>
    </w:p>
    <w:p w14:paraId="7416FC6C" w14:textId="323CE709" w:rsidR="000B58EE" w:rsidRDefault="000B58EE" w:rsidP="00BF70F8">
      <w:pPr>
        <w:spacing w:line="480" w:lineRule="auto"/>
        <w:ind w:firstLine="360"/>
        <w:rPr>
          <w:rFonts w:ascii="Times New Roman" w:hAnsi="Times New Roman" w:cs="Times New Roman"/>
        </w:rPr>
      </w:pPr>
      <w:r>
        <w:rPr>
          <w:rFonts w:ascii="Times New Roman" w:hAnsi="Times New Roman" w:cs="Times New Roman"/>
        </w:rPr>
        <w:t>A motion for summary judgment for the university would likely succeed. Nevertheless, Executive Director the</w:t>
      </w:r>
      <w:r w:rsidRPr="000B58EE">
        <w:rPr>
          <w:rFonts w:ascii="Times New Roman" w:hAnsi="Times New Roman" w:cs="Times New Roman"/>
        </w:rPr>
        <w:t xml:space="preserve"> University Health Services</w:t>
      </w:r>
      <w:r>
        <w:rPr>
          <w:rFonts w:ascii="Times New Roman" w:hAnsi="Times New Roman" w:cs="Times New Roman"/>
        </w:rPr>
        <w:t xml:space="preserve"> and the Director of UHS Health and Wellness Programs should be made aware of the situation, as well as university counsel. They will likely provide avenues for students and staff who know the injured students to access counseling services if they are distressed. The Chancellor of the university will also likely issue an official communication to the campus community offering public assurances that the university is working with the injured students’ families to ensure their needs are met.</w:t>
      </w:r>
      <w:r w:rsidR="00F34D08">
        <w:rPr>
          <w:rFonts w:ascii="Times New Roman" w:hAnsi="Times New Roman" w:cs="Times New Roman"/>
        </w:rPr>
        <w:t xml:space="preserve"> As the ULPSP Student Code of Conduct’s Drug Free Policy only covers off-campus events that are university-sponsored, the students will not be subject to disciplinary action under the Student Code of Conduct because the protest parade was not a university event.</w:t>
      </w:r>
    </w:p>
    <w:p w14:paraId="163FB383" w14:textId="77777777" w:rsidR="000573AB" w:rsidRPr="000573AB" w:rsidRDefault="000573AB" w:rsidP="000573AB">
      <w:pPr>
        <w:rPr>
          <w:rFonts w:ascii="Times New Roman" w:hAnsi="Times New Roman" w:cs="Times New Roman"/>
        </w:rPr>
      </w:pPr>
    </w:p>
    <w:p w14:paraId="55F16628" w14:textId="3CEAD838" w:rsidR="00992D80" w:rsidRDefault="004D146F" w:rsidP="00BF70F8">
      <w:pPr>
        <w:pStyle w:val="ListParagraph"/>
        <w:numPr>
          <w:ilvl w:val="0"/>
          <w:numId w:val="2"/>
        </w:numPr>
        <w:spacing w:line="480" w:lineRule="auto"/>
        <w:rPr>
          <w:rFonts w:ascii="Times New Roman" w:hAnsi="Times New Roman" w:cs="Times New Roman"/>
          <w:b/>
        </w:rPr>
      </w:pPr>
      <w:r w:rsidRPr="00D468B2">
        <w:rPr>
          <w:rFonts w:ascii="Times New Roman" w:hAnsi="Times New Roman" w:cs="Times New Roman"/>
          <w:b/>
        </w:rPr>
        <w:t>Sexual Harassment and I</w:t>
      </w:r>
      <w:r w:rsidR="00992D80" w:rsidRPr="00D468B2">
        <w:rPr>
          <w:rFonts w:ascii="Times New Roman" w:hAnsi="Times New Roman" w:cs="Times New Roman"/>
          <w:b/>
        </w:rPr>
        <w:t xml:space="preserve">nappropriate </w:t>
      </w:r>
      <w:r w:rsidRPr="00D468B2">
        <w:rPr>
          <w:rFonts w:ascii="Times New Roman" w:hAnsi="Times New Roman" w:cs="Times New Roman"/>
          <w:b/>
        </w:rPr>
        <w:t>Student/Faculty R</w:t>
      </w:r>
      <w:r w:rsidR="00992D80" w:rsidRPr="00D468B2">
        <w:rPr>
          <w:rFonts w:ascii="Times New Roman" w:hAnsi="Times New Roman" w:cs="Times New Roman"/>
          <w:b/>
        </w:rPr>
        <w:t>elationship</w:t>
      </w:r>
      <w:r w:rsidR="00D468B2">
        <w:rPr>
          <w:rFonts w:ascii="Times New Roman" w:hAnsi="Times New Roman" w:cs="Times New Roman"/>
          <w:b/>
        </w:rPr>
        <w:t>: Say No t</w:t>
      </w:r>
      <w:r w:rsidRPr="00D468B2">
        <w:rPr>
          <w:rFonts w:ascii="Times New Roman" w:hAnsi="Times New Roman" w:cs="Times New Roman"/>
          <w:b/>
        </w:rPr>
        <w:t>o This</w:t>
      </w:r>
    </w:p>
    <w:p w14:paraId="65344A42" w14:textId="0E519C1C" w:rsidR="00D468B2" w:rsidRDefault="00D468B2" w:rsidP="00BF70F8">
      <w:pPr>
        <w:spacing w:line="480" w:lineRule="auto"/>
        <w:ind w:firstLine="360"/>
        <w:rPr>
          <w:rFonts w:ascii="Times New Roman" w:hAnsi="Times New Roman" w:cs="Times New Roman"/>
        </w:rPr>
      </w:pPr>
      <w:r>
        <w:rPr>
          <w:rFonts w:ascii="Times New Roman" w:hAnsi="Times New Roman" w:cs="Times New Roman"/>
        </w:rPr>
        <w:t>As Sharon Lynch continues her coverage of Dr. Schmitz’s ongoing employment situation, she finds herself at odds with Dr. Welch, the faculty editor of the student newspaper. It appears that he opposes her stance on recreational marijuana use due to his Evangelical beliefs (though why he would have “[come]</w:t>
      </w:r>
      <w:r w:rsidRPr="00D468B2">
        <w:rPr>
          <w:rFonts w:ascii="Times New Roman" w:hAnsi="Times New Roman" w:cs="Times New Roman"/>
        </w:rPr>
        <w:t xml:space="preserve"> to teach at ULPSP because</w:t>
      </w:r>
      <w:r>
        <w:rPr>
          <w:rFonts w:ascii="Times New Roman" w:hAnsi="Times New Roman" w:cs="Times New Roman"/>
        </w:rPr>
        <w:t xml:space="preserve"> of its staunch focus on faith, family and fidelity” given that the word “Public” is in ULPSP’s name is uncertain). Dr. Welch is under the mistaken impression that the student newspaper could be sued if she publishes her latest piece. Yet it is he who is at legal risk. ULSPS’s student newspaper is a limited forum provided by the university for the purpose of facilitating student speech and for learning the academic discipline of journalism (Kaplin and Lee, 2014). Dr. Welch is an excellent journalist, but his ideological blind spot prevents him from realizing that his expression of personal opinion to his student editor is has a chilling effect on her freedom of speech. The issue of chill was addressed in the opinion issued in </w:t>
      </w:r>
      <w:r w:rsidRPr="00D468B2">
        <w:rPr>
          <w:rFonts w:ascii="Times New Roman" w:hAnsi="Times New Roman" w:cs="Times New Roman"/>
          <w:i/>
        </w:rPr>
        <w:t>Hussain vs. Springer</w:t>
      </w:r>
      <w:r>
        <w:rPr>
          <w:rFonts w:ascii="Times New Roman" w:hAnsi="Times New Roman" w:cs="Times New Roman"/>
        </w:rPr>
        <w:t xml:space="preserve"> 494 F.3d 108 (2d Cir. 2007):</w:t>
      </w:r>
    </w:p>
    <w:p w14:paraId="45AFCAC4" w14:textId="6DC98B90" w:rsidR="00D468B2" w:rsidRDefault="00D468B2" w:rsidP="00D468B2">
      <w:pPr>
        <w:ind w:left="360"/>
        <w:rPr>
          <w:rFonts w:ascii="Times New Roman" w:hAnsi="Times New Roman" w:cs="Times New Roman"/>
        </w:rPr>
      </w:pPr>
      <w:r w:rsidRPr="00D468B2">
        <w:rPr>
          <w:rFonts w:ascii="Times New Roman" w:hAnsi="Times New Roman" w:cs="Times New Roman"/>
        </w:rPr>
        <w:t>[A]t a minimum, when a public university establishes a student media outlet and requires no initial restrictions on content, it may not censor, retaliate, or otherwise chill that outlet’s speech, or the speech of the student journalists who produce it, on the basis of content or viewpoints expressed through that outlet [494 F.3d at 124].</w:t>
      </w:r>
      <w:r>
        <w:rPr>
          <w:rFonts w:ascii="Times New Roman" w:hAnsi="Times New Roman" w:cs="Times New Roman"/>
        </w:rPr>
        <w:t xml:space="preserve"> (Kaplin and Lee, 2014, 693).</w:t>
      </w:r>
    </w:p>
    <w:p w14:paraId="536E1966" w14:textId="77777777" w:rsidR="00D468B2" w:rsidRDefault="00D468B2" w:rsidP="00D468B2">
      <w:pPr>
        <w:ind w:firstLine="360"/>
        <w:rPr>
          <w:rFonts w:ascii="Times New Roman" w:hAnsi="Times New Roman" w:cs="Times New Roman"/>
        </w:rPr>
      </w:pPr>
    </w:p>
    <w:p w14:paraId="1B6859EA" w14:textId="2DAFBC79" w:rsidR="00D468B2" w:rsidRDefault="00D468B2" w:rsidP="00BF70F8">
      <w:pPr>
        <w:spacing w:line="480" w:lineRule="auto"/>
        <w:rPr>
          <w:rFonts w:ascii="Times New Roman" w:hAnsi="Times New Roman" w:cs="Times New Roman"/>
        </w:rPr>
      </w:pPr>
      <w:r>
        <w:rPr>
          <w:rFonts w:ascii="Times New Roman" w:hAnsi="Times New Roman" w:cs="Times New Roman"/>
        </w:rPr>
        <w:t xml:space="preserve">This precedent clearly establishes a potential cause of action under the federal Constitution’s First Amendment. Additional action may be brought at the state level under MGL c.71, s.82. </w:t>
      </w:r>
    </w:p>
    <w:p w14:paraId="2A30D031" w14:textId="175EE78E" w:rsidR="00D468B2" w:rsidRDefault="00D468B2" w:rsidP="00BF70F8">
      <w:pPr>
        <w:spacing w:line="480" w:lineRule="auto"/>
        <w:rPr>
          <w:rFonts w:ascii="Times New Roman" w:hAnsi="Times New Roman" w:cs="Times New Roman"/>
        </w:rPr>
      </w:pPr>
      <w:r>
        <w:rPr>
          <w:rFonts w:ascii="Times New Roman" w:hAnsi="Times New Roman" w:cs="Times New Roman"/>
        </w:rPr>
        <w:t xml:space="preserve">      The legal risk to the university may not be substantial, given that Ms. Lynch seems not to realize that Dr. Welch is chilling her speech. Rather, she is caught up in an inappropriate relationship with Dr. Welch. This is the more substantial legal risk, as s</w:t>
      </w:r>
      <w:r w:rsidRPr="00D468B2">
        <w:rPr>
          <w:rFonts w:ascii="Times New Roman" w:hAnsi="Times New Roman" w:cs="Times New Roman"/>
        </w:rPr>
        <w:t xml:space="preserve">exual harassment of students </w:t>
      </w:r>
      <w:r>
        <w:rPr>
          <w:rFonts w:ascii="Times New Roman" w:hAnsi="Times New Roman" w:cs="Times New Roman"/>
        </w:rPr>
        <w:t xml:space="preserve">by faculty members </w:t>
      </w:r>
      <w:r w:rsidRPr="00D468B2">
        <w:rPr>
          <w:rFonts w:ascii="Times New Roman" w:hAnsi="Times New Roman" w:cs="Times New Roman"/>
        </w:rPr>
        <w:t>is prohibited by Title IX of the Education Amendments of 1972</w:t>
      </w:r>
      <w:r>
        <w:rPr>
          <w:rFonts w:ascii="Times New Roman" w:hAnsi="Times New Roman" w:cs="Times New Roman"/>
        </w:rPr>
        <w:t xml:space="preserve"> (Kaplin and Lee, 2014, 534). Whether this situation involves </w:t>
      </w:r>
      <w:r w:rsidRPr="00D468B2">
        <w:rPr>
          <w:rFonts w:ascii="Times New Roman" w:hAnsi="Times New Roman" w:cs="Times New Roman"/>
          <w:i/>
        </w:rPr>
        <w:t>quid pro quo</w:t>
      </w:r>
      <w:r>
        <w:rPr>
          <w:rFonts w:ascii="Times New Roman" w:hAnsi="Times New Roman" w:cs="Times New Roman"/>
        </w:rPr>
        <w:t xml:space="preserve"> harassment or hostile environment harassment depends upon whether Dr. Welch used sexual contact or the threat of sexual contact to persuade Ms. Lynch to withdraw her piece from the newspaper. Even if no sexual content or talk was involved, Dr. Welch’s long dinners alone with Ms. Lynch constitutes sexual harassment because the inherently unequal power dynamic interferes with her ability to to receive the fullest possible education. Either way, the mere fact of Dr. Welch’s inappropriate relationship with a student exposes the university to legal risk and must be addressed immediately. I would contact ULPSP’s Title IX Coordinator and university counsel immediately. The Title IX Coordinator would likely recommend that Dr. Lynch be removed as faculty editor of the newspaper right away, and begin an internal Title IX investigation. The English Department Chair and the Dean of the College of Liberal Arts would also need to be notified, as well as Dr. Welch’s faculty union representative and the Vice Chancellor of Student Affiairs.</w:t>
      </w:r>
      <w:r w:rsidR="00BF70F8">
        <w:rPr>
          <w:rFonts w:ascii="Times New Roman" w:hAnsi="Times New Roman" w:cs="Times New Roman"/>
        </w:rPr>
        <w:t xml:space="preserve"> It is possible they would recommend he be placed on paid leave while the investigation is ongoing.</w:t>
      </w:r>
    </w:p>
    <w:p w14:paraId="5D9485F9" w14:textId="6AE4BFEA" w:rsidR="00D468B2" w:rsidRDefault="00D468B2" w:rsidP="00BF70F8">
      <w:pPr>
        <w:spacing w:line="480" w:lineRule="auto"/>
        <w:rPr>
          <w:rFonts w:ascii="Times New Roman" w:hAnsi="Times New Roman" w:cs="Times New Roman"/>
        </w:rPr>
      </w:pPr>
      <w:r>
        <w:rPr>
          <w:rFonts w:ascii="Times New Roman" w:hAnsi="Times New Roman" w:cs="Times New Roman"/>
        </w:rPr>
        <w:t xml:space="preserve">      In addition to filing</w:t>
      </w:r>
      <w:r w:rsidRPr="00D468B2">
        <w:rPr>
          <w:rFonts w:ascii="Times New Roman" w:hAnsi="Times New Roman" w:cs="Times New Roman"/>
        </w:rPr>
        <w:t xml:space="preserve"> a complaint with the U.S. Department of Education’s Office for Civil Rights (OCR),</w:t>
      </w:r>
      <w:r>
        <w:rPr>
          <w:rFonts w:ascii="Times New Roman" w:hAnsi="Times New Roman" w:cs="Times New Roman"/>
        </w:rPr>
        <w:t xml:space="preserve"> Ms. Lynch could bring a suit alleging sex discrimination based on Title VI, Section 1981, and MGL c.151(B), as noted above. The same statutes of limitations as discussed in Question A above apply, so it is more likely that suit would be brought under Section 1981 and MGL c.151(B). Liability and damages for sexual harassment of a student by a professor have varied over the years (Kaplin and Lee, 2014). However, the </w:t>
      </w:r>
      <w:r w:rsidRPr="00D468B2">
        <w:rPr>
          <w:rFonts w:ascii="Times New Roman" w:hAnsi="Times New Roman" w:cs="Times New Roman"/>
          <w:i/>
        </w:rPr>
        <w:t>Gebser</w:t>
      </w:r>
      <w:r>
        <w:rPr>
          <w:rFonts w:ascii="Times New Roman" w:hAnsi="Times New Roman" w:cs="Times New Roman"/>
        </w:rPr>
        <w:t xml:space="preserve"> test provides a helpful guideline:</w:t>
      </w:r>
    </w:p>
    <w:p w14:paraId="684DDFC3" w14:textId="32D6C1F3" w:rsidR="00D468B2" w:rsidRPr="00D468B2" w:rsidRDefault="00D468B2" w:rsidP="00D468B2">
      <w:pPr>
        <w:pStyle w:val="ListParagraph"/>
        <w:numPr>
          <w:ilvl w:val="0"/>
          <w:numId w:val="4"/>
        </w:numPr>
        <w:rPr>
          <w:rFonts w:ascii="Times New Roman" w:hAnsi="Times New Roman" w:cs="Times New Roman"/>
        </w:rPr>
      </w:pPr>
      <w:r w:rsidRPr="00D468B2">
        <w:rPr>
          <w:rFonts w:ascii="Times New Roman" w:hAnsi="Times New Roman" w:cs="Times New Roman"/>
        </w:rPr>
        <w:t>An official of the school</w:t>
      </w:r>
      <w:r>
        <w:rPr>
          <w:rFonts w:ascii="Times New Roman" w:hAnsi="Times New Roman" w:cs="Times New Roman"/>
        </w:rPr>
        <w:t>…</w:t>
      </w:r>
      <w:r w:rsidRPr="00D468B2">
        <w:rPr>
          <w:rFonts w:ascii="Times New Roman" w:hAnsi="Times New Roman" w:cs="Times New Roman"/>
        </w:rPr>
        <w:t xml:space="preserve"> (a) must have had “actual knowledge” of the harassment and (b) must have authority to “institute corrective measures” to resolve the harassment problem. </w:t>
      </w:r>
    </w:p>
    <w:p w14:paraId="25E48AA9" w14:textId="7D48F1E3" w:rsidR="00D468B2" w:rsidRDefault="00D468B2" w:rsidP="00D468B2">
      <w:pPr>
        <w:pStyle w:val="ListParagraph"/>
        <w:numPr>
          <w:ilvl w:val="0"/>
          <w:numId w:val="4"/>
        </w:numPr>
        <w:rPr>
          <w:rFonts w:ascii="Times New Roman" w:hAnsi="Times New Roman" w:cs="Times New Roman"/>
        </w:rPr>
      </w:pPr>
      <w:r w:rsidRPr="00D468B2">
        <w:rPr>
          <w:rFonts w:ascii="Times New Roman" w:hAnsi="Times New Roman" w:cs="Times New Roman"/>
        </w:rPr>
        <w:t>If such an official did have actual knowledge, then the official (a) must have “fail[ed] to adequately respond” to the harassment and (b) must have acted with “deliberate indifference.”</w:t>
      </w:r>
      <w:r>
        <w:rPr>
          <w:rFonts w:ascii="Times New Roman" w:hAnsi="Times New Roman" w:cs="Times New Roman"/>
        </w:rPr>
        <w:t xml:space="preserve"> (Kaplin and Lee, 2014, 542).</w:t>
      </w:r>
    </w:p>
    <w:p w14:paraId="254C5AED" w14:textId="77777777" w:rsidR="00D468B2" w:rsidRDefault="00D468B2" w:rsidP="00D468B2">
      <w:pPr>
        <w:rPr>
          <w:rFonts w:ascii="Times New Roman" w:hAnsi="Times New Roman" w:cs="Times New Roman"/>
        </w:rPr>
      </w:pPr>
    </w:p>
    <w:p w14:paraId="76612CC3" w14:textId="15B08436" w:rsidR="00D468B2" w:rsidRDefault="00D468B2" w:rsidP="00BF70F8">
      <w:pPr>
        <w:spacing w:line="480" w:lineRule="auto"/>
        <w:rPr>
          <w:rFonts w:ascii="Times New Roman" w:hAnsi="Times New Roman" w:cs="Times New Roman"/>
        </w:rPr>
      </w:pPr>
      <w:r>
        <w:rPr>
          <w:rFonts w:ascii="Times New Roman" w:hAnsi="Times New Roman" w:cs="Times New Roman"/>
        </w:rPr>
        <w:t xml:space="preserve">As long as the Title IX Coordinator and other relevant university officials respond to the situation “adequately” and do not active with deliberate indifference, a civil action brought under federal law is not likely to survive; summary judgment may be made for the university. This is especially true if the relief sought were injunctive or administrative rather than money damages (Kaplin and Lee, 2014). I would rely upon timely and expert guidance of the Title IX Coordinator, university council, and the Vice Chancellor of Student Affairs as to appropriate responses to the situation, especially in light of Ms. Lynch’s apparent naïveté. This guidance would mitigate the legal risk to the university. </w:t>
      </w:r>
    </w:p>
    <w:p w14:paraId="2FCCBC8C" w14:textId="6F563F2C" w:rsidR="00D468B2" w:rsidRPr="00D468B2" w:rsidRDefault="00D468B2" w:rsidP="00BF70F8">
      <w:pPr>
        <w:spacing w:line="480" w:lineRule="auto"/>
        <w:rPr>
          <w:rFonts w:ascii="Times New Roman" w:hAnsi="Times New Roman" w:cs="Times New Roman"/>
        </w:rPr>
      </w:pPr>
      <w:r>
        <w:rPr>
          <w:rFonts w:ascii="Times New Roman" w:hAnsi="Times New Roman" w:cs="Times New Roman"/>
        </w:rPr>
        <w:t xml:space="preserve">       In the era of #metoo, however, university exposure to risk is not limited to the legal realm. Should Dr. Welch’s inappropriate relationship with Ms. Lynch become public knowledge, significant risk of damage to ULPSP’s reputation would ensue. Every attempt should be made to handle the matter swiftly, confidentially, and in accordance with the law. Should this information become public, I would notify the university’s Director of Communications and </w:t>
      </w:r>
      <w:r w:rsidRPr="00D468B2">
        <w:rPr>
          <w:rFonts w:ascii="Times New Roman" w:hAnsi="Times New Roman" w:cs="Times New Roman"/>
        </w:rPr>
        <w:t>Division of Government Relations and Public Affairs</w:t>
      </w:r>
      <w:r>
        <w:rPr>
          <w:rFonts w:ascii="Times New Roman" w:hAnsi="Times New Roman" w:cs="Times New Roman"/>
        </w:rPr>
        <w:t xml:space="preserve"> immediately. Decisions relating to Dr. Welch’s continued employment with t</w:t>
      </w:r>
      <w:r w:rsidR="00A45CF2">
        <w:rPr>
          <w:rFonts w:ascii="Times New Roman" w:hAnsi="Times New Roman" w:cs="Times New Roman"/>
        </w:rPr>
        <w:t>he university may be affected should</w:t>
      </w:r>
      <w:r>
        <w:rPr>
          <w:rFonts w:ascii="Times New Roman" w:hAnsi="Times New Roman" w:cs="Times New Roman"/>
        </w:rPr>
        <w:t xml:space="preserve"> significant </w:t>
      </w:r>
      <w:r w:rsidR="00A45CF2">
        <w:rPr>
          <w:rFonts w:ascii="Times New Roman" w:hAnsi="Times New Roman" w:cs="Times New Roman"/>
        </w:rPr>
        <w:t>public outcry occur</w:t>
      </w:r>
      <w:r>
        <w:rPr>
          <w:rFonts w:ascii="Times New Roman" w:hAnsi="Times New Roman" w:cs="Times New Roman"/>
        </w:rPr>
        <w:t>.</w:t>
      </w:r>
    </w:p>
    <w:p w14:paraId="3D8D6D94" w14:textId="77777777" w:rsidR="00EE76BD" w:rsidRDefault="00EE76BD" w:rsidP="00EE76BD">
      <w:pPr>
        <w:pStyle w:val="ListParagraph"/>
        <w:rPr>
          <w:rFonts w:ascii="Times New Roman" w:hAnsi="Times New Roman" w:cs="Times New Roman"/>
        </w:rPr>
      </w:pPr>
    </w:p>
    <w:p w14:paraId="28E8FF79" w14:textId="4A7D21FB" w:rsidR="00992D80" w:rsidRPr="00D468B2" w:rsidRDefault="00992D80" w:rsidP="00BF70F8">
      <w:pPr>
        <w:pStyle w:val="ListParagraph"/>
        <w:numPr>
          <w:ilvl w:val="0"/>
          <w:numId w:val="2"/>
        </w:numPr>
        <w:spacing w:line="480" w:lineRule="auto"/>
        <w:rPr>
          <w:rFonts w:ascii="Times New Roman" w:hAnsi="Times New Roman" w:cs="Times New Roman"/>
          <w:b/>
        </w:rPr>
      </w:pPr>
      <w:r w:rsidRPr="00D468B2">
        <w:rPr>
          <w:rFonts w:ascii="Times New Roman" w:hAnsi="Times New Roman" w:cs="Times New Roman"/>
          <w:b/>
        </w:rPr>
        <w:t>Privacy</w:t>
      </w:r>
      <w:r w:rsidR="00EE76BD" w:rsidRPr="00D468B2">
        <w:rPr>
          <w:rFonts w:ascii="Times New Roman" w:hAnsi="Times New Roman" w:cs="Times New Roman"/>
          <w:b/>
        </w:rPr>
        <w:t>, Part I (and Possibly Emotional Distress)</w:t>
      </w:r>
    </w:p>
    <w:p w14:paraId="0683E376" w14:textId="7CF6360C" w:rsidR="00EE76BD" w:rsidRDefault="00EE76BD" w:rsidP="00BF70F8">
      <w:pPr>
        <w:spacing w:line="480" w:lineRule="auto"/>
        <w:ind w:firstLine="360"/>
        <w:rPr>
          <w:rFonts w:ascii="Times New Roman" w:hAnsi="Times New Roman" w:cs="Times New Roman"/>
        </w:rPr>
      </w:pPr>
      <w:r>
        <w:rPr>
          <w:rFonts w:ascii="Times New Roman" w:hAnsi="Times New Roman" w:cs="Times New Roman"/>
        </w:rPr>
        <w:t>Sharon Lynch’s plight appeared to have compounded when her Physics professor displayed her test to the entire class with her name on it. This</w:t>
      </w:r>
      <w:r w:rsidR="000D5A1D">
        <w:rPr>
          <w:rFonts w:ascii="Times New Roman" w:hAnsi="Times New Roman" w:cs="Times New Roman"/>
        </w:rPr>
        <w:t xml:space="preserve"> is clearly a FERPA violation, as it does not fall within the </w:t>
      </w:r>
      <w:r w:rsidR="00F34D08">
        <w:rPr>
          <w:rFonts w:ascii="Times New Roman" w:hAnsi="Times New Roman" w:cs="Times New Roman"/>
        </w:rPr>
        <w:t>six exceptions to FERPA protection</w:t>
      </w:r>
      <w:r w:rsidR="000D5A1D">
        <w:rPr>
          <w:rFonts w:ascii="Times New Roman" w:hAnsi="Times New Roman" w:cs="Times New Roman"/>
        </w:rPr>
        <w:t>s (Kaplin and Lee, 2014). Moreover,</w:t>
      </w:r>
      <w:r>
        <w:rPr>
          <w:rFonts w:ascii="Times New Roman" w:hAnsi="Times New Roman" w:cs="Times New Roman"/>
        </w:rPr>
        <w:t xml:space="preserve"> it can be argued that this is also a violation of professional ethics on the part of the professor. That students’ academic records are protected under federal law, and that this was not an “authorized use” of academic information, is not in dispute. However, </w:t>
      </w:r>
      <w:r w:rsidR="004D146F">
        <w:rPr>
          <w:rFonts w:ascii="Times New Roman" w:hAnsi="Times New Roman" w:cs="Times New Roman"/>
        </w:rPr>
        <w:t xml:space="preserve">should Ms. Lynch bring an action against </w:t>
      </w:r>
      <w:r>
        <w:rPr>
          <w:rFonts w:ascii="Times New Roman" w:hAnsi="Times New Roman" w:cs="Times New Roman"/>
        </w:rPr>
        <w:t>ULPSP</w:t>
      </w:r>
      <w:r w:rsidR="004D146F">
        <w:rPr>
          <w:rFonts w:ascii="Times New Roman" w:hAnsi="Times New Roman" w:cs="Times New Roman"/>
        </w:rPr>
        <w:t xml:space="preserve">, </w:t>
      </w:r>
      <w:r w:rsidR="004D146F">
        <w:rPr>
          <w:rFonts w:ascii="Times New Roman" w:hAnsi="Times New Roman" w:cs="Times New Roman"/>
        </w:rPr>
        <w:t xml:space="preserve">the only remediation actionable under FERPA would be loss of federal funding, not punitive damages. </w:t>
      </w:r>
      <w:r w:rsidR="004D146F">
        <w:rPr>
          <w:rFonts w:ascii="Times New Roman" w:hAnsi="Times New Roman" w:cs="Times New Roman"/>
        </w:rPr>
        <w:t>Moreover, the university</w:t>
      </w:r>
      <w:r>
        <w:rPr>
          <w:rFonts w:ascii="Times New Roman" w:hAnsi="Times New Roman" w:cs="Times New Roman"/>
        </w:rPr>
        <w:t xml:space="preserve"> must only demonstrate that</w:t>
      </w:r>
      <w:r w:rsidR="004D146F">
        <w:rPr>
          <w:rFonts w:ascii="Times New Roman" w:hAnsi="Times New Roman" w:cs="Times New Roman"/>
        </w:rPr>
        <w:t xml:space="preserve"> there is no pattern of breaching students’ privacy (Kaplin and Lee, 2014), and that a remedy is already in place (i.e., the professor is receiving remedial training on FERPA and professional ethics). At ULPSP, the University Registrar would need to be notified of this breach and be involved with university counsel’s response to it.</w:t>
      </w:r>
    </w:p>
    <w:p w14:paraId="0BED1E0A" w14:textId="1E48615A" w:rsidR="004D146F" w:rsidRDefault="004D146F" w:rsidP="00BF70F8">
      <w:pPr>
        <w:spacing w:line="480" w:lineRule="auto"/>
        <w:ind w:firstLine="360"/>
        <w:rPr>
          <w:rFonts w:ascii="Times New Roman" w:hAnsi="Times New Roman" w:cs="Times New Roman"/>
        </w:rPr>
      </w:pPr>
      <w:r>
        <w:rPr>
          <w:rFonts w:ascii="Times New Roman" w:hAnsi="Times New Roman" w:cs="Times New Roman"/>
        </w:rPr>
        <w:t xml:space="preserve">State-level action could be taken by Ms. Lynch. Massachusetts Regulation </w:t>
      </w:r>
      <w:r w:rsidRPr="004D146F">
        <w:rPr>
          <w:rFonts w:ascii="Times New Roman" w:hAnsi="Times New Roman" w:cs="Times New Roman"/>
        </w:rPr>
        <w:t>940 CMR 27</w:t>
      </w:r>
      <w:r>
        <w:rPr>
          <w:rFonts w:ascii="Times New Roman" w:hAnsi="Times New Roman" w:cs="Times New Roman"/>
        </w:rPr>
        <w:t xml:space="preserve"> concerns safeguarding personal information, however, it is not intended to create a private cause of action. Massachusetts law </w:t>
      </w:r>
      <w:r w:rsidRPr="004D146F">
        <w:rPr>
          <w:rFonts w:ascii="Times New Roman" w:hAnsi="Times New Roman" w:cs="Times New Roman"/>
        </w:rPr>
        <w:t xml:space="preserve">MGL c.214, s.1B </w:t>
      </w:r>
      <w:r>
        <w:rPr>
          <w:rFonts w:ascii="Times New Roman" w:hAnsi="Times New Roman" w:cs="Times New Roman"/>
        </w:rPr>
        <w:t xml:space="preserve">concerning the </w:t>
      </w:r>
      <w:r w:rsidRPr="004D146F">
        <w:rPr>
          <w:rFonts w:ascii="Times New Roman" w:hAnsi="Times New Roman" w:cs="Times New Roman"/>
        </w:rPr>
        <w:t>Right of Privacy</w:t>
      </w:r>
      <w:r>
        <w:rPr>
          <w:rFonts w:ascii="Times New Roman" w:hAnsi="Times New Roman" w:cs="Times New Roman"/>
        </w:rPr>
        <w:t xml:space="preserve">, states that the state Superior Court has the power to enforce this law and award damages. As Ms. Lynch could bring a civil action under this law, I would notify university counsel immediately, as well as the Physics Department Chair and the Dean of Faculty in the College of Science. The professor’s faculty union representative would also need to be notified. </w:t>
      </w:r>
    </w:p>
    <w:p w14:paraId="13A190C6" w14:textId="18B2E42E" w:rsidR="004D146F" w:rsidRPr="004D146F" w:rsidRDefault="004D146F" w:rsidP="00BF70F8">
      <w:pPr>
        <w:spacing w:line="480" w:lineRule="auto"/>
        <w:ind w:firstLine="360"/>
        <w:rPr>
          <w:rFonts w:ascii="Times New Roman" w:hAnsi="Times New Roman" w:cs="Times New Roman"/>
        </w:rPr>
      </w:pPr>
      <w:r>
        <w:rPr>
          <w:rFonts w:ascii="Times New Roman" w:hAnsi="Times New Roman" w:cs="Times New Roman"/>
        </w:rPr>
        <w:t>Finally, Ms. Lynch could bring suit for Intentional or Negligent Infliction of Emotional Distress given the public and humiliating nature of the privacy breach that occurred. The claim would be either Intentional or Negligent, depending on whether or not Ms. Lynch alleges that the professor purposely left her name on the exam</w:t>
      </w:r>
      <w:r w:rsidR="00BD39BC">
        <w:rPr>
          <w:rFonts w:ascii="Times New Roman" w:hAnsi="Times New Roman" w:cs="Times New Roman"/>
        </w:rPr>
        <w:t>, and whether the court considers the professor’s conduct “outrageous” (Neal-Johnson, S.D., 10 Oct. 2018)</w:t>
      </w:r>
      <w:r>
        <w:rPr>
          <w:rFonts w:ascii="Times New Roman" w:hAnsi="Times New Roman" w:cs="Times New Roman"/>
        </w:rPr>
        <w:t xml:space="preserve">. </w:t>
      </w:r>
      <w:r w:rsidR="00BD39BC">
        <w:rPr>
          <w:rFonts w:ascii="Times New Roman" w:hAnsi="Times New Roman" w:cs="Times New Roman"/>
        </w:rPr>
        <w:t xml:space="preserve">I believe his behavior does qualify as outrageous, given that it was unnecessary for educational purposes, and actually undermined those purposes in the classroom. </w:t>
      </w:r>
      <w:r>
        <w:rPr>
          <w:rFonts w:ascii="Times New Roman" w:hAnsi="Times New Roman" w:cs="Times New Roman"/>
        </w:rPr>
        <w:t xml:space="preserve">Under the </w:t>
      </w:r>
      <w:r w:rsidRPr="004D146F">
        <w:rPr>
          <w:rFonts w:ascii="Times New Roman" w:hAnsi="Times New Roman" w:cs="Times New Roman"/>
          <w:i/>
        </w:rPr>
        <w:t>Respondeat Superior</w:t>
      </w:r>
      <w:r>
        <w:rPr>
          <w:rFonts w:ascii="Times New Roman" w:hAnsi="Times New Roman" w:cs="Times New Roman"/>
        </w:rPr>
        <w:t xml:space="preserve"> doctrine, the suit could name the university as a defendant as well as the professor himself. This doctrine states that the professor is an agent of the university, which is the principal, and that the university has a responsibility to properly supervise and train its agent (Kaplin and Lee, 2014). Under contract law, the university can be seen to owe a fiduciary duty to Ms. Wong to provide her with a suitable learning environment (Kaplin and Lee, 2014). Any reasonable person, as well as legal and educational professionals, can assume that a suitable learning environment constitutes a safe and distraction-free place for study— this necessarily excludes harassment and other bullying behavior. While such a tort claim is certainly a legal risk for the university, Ms. Lynch faces a significant barrier to successful bringing this action: she must prove manifestation of physical symptoms of emotional distress. This burden of proof was established in </w:t>
      </w:r>
      <w:r w:rsidRPr="004D146F">
        <w:rPr>
          <w:rFonts w:ascii="Times New Roman" w:hAnsi="Times New Roman" w:cs="Times New Roman"/>
          <w:i/>
        </w:rPr>
        <w:t>Payton v. Abbott Labs</w:t>
      </w:r>
      <w:r w:rsidRPr="004D146F">
        <w:rPr>
          <w:rFonts w:ascii="Times New Roman" w:hAnsi="Times New Roman" w:cs="Times New Roman"/>
        </w:rPr>
        <w:t>, 386 Mass. 540, 547, 437 N.E.2d 171, 181 (1982)</w:t>
      </w:r>
      <w:r>
        <w:rPr>
          <w:rFonts w:ascii="Times New Roman" w:hAnsi="Times New Roman" w:cs="Times New Roman"/>
        </w:rPr>
        <w:t>. Should a tort claim be brought against the university and the professor, all of the university officials and counsel named above would be need to be involved in crafting a response to it. University counsel would likely advise that while Ms. Lynch’s burden of proof is substantial, should she be able to produce sufficient proof, a tort claim against the university may be successful. Damages in this case could be significant.</w:t>
      </w:r>
    </w:p>
    <w:p w14:paraId="53A2764F" w14:textId="77777777" w:rsidR="00EE76BD" w:rsidRDefault="00EE76BD" w:rsidP="00EE76BD">
      <w:pPr>
        <w:pStyle w:val="ListParagraph"/>
        <w:rPr>
          <w:rFonts w:ascii="Times New Roman" w:hAnsi="Times New Roman" w:cs="Times New Roman"/>
        </w:rPr>
      </w:pPr>
    </w:p>
    <w:p w14:paraId="0D9D90DD" w14:textId="08D3313C" w:rsidR="00992D80" w:rsidRPr="00BD39BC" w:rsidRDefault="00992D80" w:rsidP="00BF70F8">
      <w:pPr>
        <w:pStyle w:val="ListParagraph"/>
        <w:numPr>
          <w:ilvl w:val="0"/>
          <w:numId w:val="2"/>
        </w:numPr>
        <w:spacing w:line="480" w:lineRule="auto"/>
        <w:rPr>
          <w:rFonts w:ascii="Times New Roman" w:hAnsi="Times New Roman" w:cs="Times New Roman"/>
          <w:b/>
        </w:rPr>
      </w:pPr>
      <w:r w:rsidRPr="00BD39BC">
        <w:rPr>
          <w:rFonts w:ascii="Times New Roman" w:hAnsi="Times New Roman" w:cs="Times New Roman"/>
          <w:b/>
        </w:rPr>
        <w:t xml:space="preserve">Substance </w:t>
      </w:r>
      <w:r w:rsidR="004D146F" w:rsidRPr="00BD39BC">
        <w:rPr>
          <w:rFonts w:ascii="Times New Roman" w:hAnsi="Times New Roman" w:cs="Times New Roman"/>
          <w:b/>
        </w:rPr>
        <w:t>Use and Abuse</w:t>
      </w:r>
      <w:r w:rsidR="00D468B2">
        <w:rPr>
          <w:rFonts w:ascii="Times New Roman" w:hAnsi="Times New Roman" w:cs="Times New Roman"/>
          <w:b/>
        </w:rPr>
        <w:t>, Part II</w:t>
      </w:r>
      <w:r w:rsidR="00BD39BC" w:rsidRPr="00BD39BC">
        <w:rPr>
          <w:rFonts w:ascii="Times New Roman" w:hAnsi="Times New Roman" w:cs="Times New Roman"/>
          <w:b/>
        </w:rPr>
        <w:t>;</w:t>
      </w:r>
      <w:r w:rsidR="00D468B2">
        <w:rPr>
          <w:rFonts w:ascii="Times New Roman" w:hAnsi="Times New Roman" w:cs="Times New Roman"/>
          <w:b/>
        </w:rPr>
        <w:t xml:space="preserve"> Privacy, Part II</w:t>
      </w:r>
    </w:p>
    <w:p w14:paraId="2C4BFBF7" w14:textId="2D9FD2D7" w:rsidR="004D146F" w:rsidRDefault="004D146F" w:rsidP="00BF70F8">
      <w:pPr>
        <w:spacing w:line="480" w:lineRule="auto"/>
        <w:ind w:firstLine="360"/>
        <w:rPr>
          <w:rFonts w:ascii="Times New Roman" w:hAnsi="Times New Roman" w:cs="Times New Roman"/>
        </w:rPr>
      </w:pPr>
      <w:r>
        <w:rPr>
          <w:rFonts w:ascii="Times New Roman" w:hAnsi="Times New Roman" w:cs="Times New Roman"/>
        </w:rPr>
        <w:t>Residence Hall parent Shirley Certainhouse has expressed concern for Sharon Lynch to her supervisor after observing physical and emotional distress on the part of Ms. Lynch. Should Ms. Lynch bring a tort claim for Infliction of Emotional Distress (above), Ms. Certainhouse may be called as a witness to testify to Ms. Lynch’s somatic symptoms of emotional distress.</w:t>
      </w:r>
    </w:p>
    <w:p w14:paraId="1BC87C96" w14:textId="79E313B6" w:rsidR="00BD39BC" w:rsidRDefault="004D146F" w:rsidP="00BF70F8">
      <w:pPr>
        <w:spacing w:line="480" w:lineRule="auto"/>
        <w:ind w:firstLine="360"/>
        <w:rPr>
          <w:rFonts w:ascii="Times New Roman" w:hAnsi="Times New Roman" w:cs="Times New Roman"/>
        </w:rPr>
      </w:pPr>
      <w:r>
        <w:rPr>
          <w:rFonts w:ascii="Times New Roman" w:hAnsi="Times New Roman" w:cs="Times New Roman"/>
        </w:rPr>
        <w:t xml:space="preserve">Ms. Certainhouse has listened to other students’ concerns that Ms. Lynch may self-harm; it is also possible that Ms. Lynch is self-medicating using alcohol. As she is a first-year student, use of alcohol is illegal because she has not yet reached the age of 21. </w:t>
      </w:r>
      <w:r w:rsidR="00BD39BC">
        <w:rPr>
          <w:rFonts w:ascii="Times New Roman" w:hAnsi="Times New Roman" w:cs="Times New Roman"/>
        </w:rPr>
        <w:t xml:space="preserve">The ULPSP Alcohol Policy states that students under 21 who violate Massachusetts law regarding the purchase of alcohol </w:t>
      </w:r>
      <w:r w:rsidR="00BD39BC" w:rsidRPr="00BD39BC">
        <w:rPr>
          <w:rFonts w:ascii="Times New Roman" w:hAnsi="Times New Roman" w:cs="Times New Roman"/>
        </w:rPr>
        <w:t>may be grounds for disciplinary action</w:t>
      </w:r>
      <w:r w:rsidR="00BD39BC">
        <w:rPr>
          <w:rFonts w:ascii="Times New Roman" w:hAnsi="Times New Roman" w:cs="Times New Roman"/>
        </w:rPr>
        <w:t xml:space="preserve">. However, as Ms. Lynch is not known to be using alcohol on campus or to be supplying it to other students, it may not be wise to discipline her under the Code of Conduct at this time, given her emotional difficulties. The first priority is to ensure her safety. I would advise that Ms. Certainhouse and her supervisor, the </w:t>
      </w:r>
      <w:r w:rsidR="00BD39BC" w:rsidRPr="00BD39BC">
        <w:rPr>
          <w:rFonts w:ascii="Times New Roman" w:hAnsi="Times New Roman" w:cs="Times New Roman"/>
        </w:rPr>
        <w:t>Associate Director of Residential Education</w:t>
      </w:r>
      <w:r w:rsidR="00BD39BC">
        <w:rPr>
          <w:rFonts w:ascii="Times New Roman" w:hAnsi="Times New Roman" w:cs="Times New Roman"/>
        </w:rPr>
        <w:t xml:space="preserve">, speak with Ms. Lynch and ask her as directly as possible whether she sometimes feels like hurting herself. The rumors Ms. Certainhouse has heard in the residence hall are hearsay and cannot be used to evaluate Ms. Lynch’s state of mind. Should she state that she has considered or attempted self-harm, Ms. Certainhouse and her supervisor will need to </w:t>
      </w:r>
      <w:r w:rsidR="00BD39BC" w:rsidRPr="00BD39BC">
        <w:rPr>
          <w:rFonts w:ascii="Times New Roman" w:hAnsi="Times New Roman" w:cs="Times New Roman"/>
        </w:rPr>
        <w:t xml:space="preserve">follow the ULPSP Student Protocol for Distressed and Distressing Students </w:t>
      </w:r>
      <w:r w:rsidR="00BD39BC">
        <w:rPr>
          <w:rFonts w:ascii="Times New Roman" w:hAnsi="Times New Roman" w:cs="Times New Roman"/>
        </w:rPr>
        <w:t xml:space="preserve">and consult the University Health Services Counseling Center Director as soon as possible. </w:t>
      </w:r>
    </w:p>
    <w:p w14:paraId="65EFFD4B" w14:textId="77777777" w:rsidR="00BD39BC" w:rsidRDefault="00BD39BC" w:rsidP="00BF70F8">
      <w:pPr>
        <w:spacing w:line="480" w:lineRule="auto"/>
        <w:ind w:firstLine="360"/>
        <w:rPr>
          <w:rFonts w:ascii="Times New Roman" w:hAnsi="Times New Roman" w:cs="Times New Roman"/>
        </w:rPr>
      </w:pPr>
      <w:r>
        <w:rPr>
          <w:rFonts w:ascii="Times New Roman" w:hAnsi="Times New Roman" w:cs="Times New Roman"/>
        </w:rPr>
        <w:t xml:space="preserve">If they feel the possibility of self-harm is imminent, the protocol directs them to contact ULPSP Public Safety immediately. If not, I would recommend attempting to get Ms. Lynch to utilize the ULifeline service. ULifeline allows her to call or text and reach a crisis counselor 24 hours a day. The ULifeline website also has a Self-Evaluator tool that takes less than a minute to use. If Ms. Lynch is resistant to acknowledging the severity of her difficulties, completing the evaluator together may help her overcome this resistance. The evaluator directs students with suicidal thoughts to the ULifeline talk and text numbers. This may help her to utilize crisis counseling in her residence rather than having to go to the Counseling Center to receive services. Should she continue to resist utilizing any counseling services whatsoever, I would advise Ms. Certainhouse and the Assistant Director to take their cues from the </w:t>
      </w:r>
      <w:r>
        <w:rPr>
          <w:rFonts w:ascii="Times New Roman" w:hAnsi="Times New Roman" w:cs="Times New Roman"/>
        </w:rPr>
        <w:t>University Health Services Counseling Center Director</w:t>
      </w:r>
      <w:r>
        <w:rPr>
          <w:rFonts w:ascii="Times New Roman" w:hAnsi="Times New Roman" w:cs="Times New Roman"/>
        </w:rPr>
        <w:t xml:space="preserve">, as she is a licensed social worker. She has the necessary training to evaluate the situation and provide a recommendation for further action. </w:t>
      </w:r>
    </w:p>
    <w:p w14:paraId="136866B3" w14:textId="35B5C03F" w:rsidR="00BD39BC" w:rsidRDefault="00BD39BC" w:rsidP="00BF70F8">
      <w:pPr>
        <w:spacing w:line="480" w:lineRule="auto"/>
        <w:ind w:firstLine="360"/>
        <w:rPr>
          <w:rFonts w:ascii="Times New Roman" w:hAnsi="Times New Roman" w:cs="Times New Roman"/>
        </w:rPr>
      </w:pPr>
      <w:r>
        <w:rPr>
          <w:rFonts w:ascii="Times New Roman" w:hAnsi="Times New Roman" w:cs="Times New Roman"/>
        </w:rPr>
        <w:t>The UHS Counseling Center Director would likely be the official who makes the call as to whether the university has a “duty to warn” Ms. Lynch’s parents that she is suicidal, likely in consultation with university counsel (Kaplin and Lee, 2014). This situation would not be a FERPA violation because it falls under the health and safety exception to FERPA. Communication between licensed counselors and Ms. Lynch would be considered privileged communication and would not be covered under this FERPA exception. However, as residence life staff are not licensed counselors, Ms. Certainhouse and her supervisor may communicate with the parents.</w:t>
      </w:r>
    </w:p>
    <w:p w14:paraId="21E888BD" w14:textId="33C81D1C" w:rsidR="00BD39BC" w:rsidRDefault="00BD39BC" w:rsidP="00BF70F8">
      <w:pPr>
        <w:spacing w:line="480" w:lineRule="auto"/>
        <w:ind w:firstLine="360"/>
        <w:rPr>
          <w:rFonts w:ascii="Times New Roman" w:hAnsi="Times New Roman" w:cs="Times New Roman"/>
        </w:rPr>
      </w:pPr>
      <w:r>
        <w:rPr>
          <w:rFonts w:ascii="Times New Roman" w:hAnsi="Times New Roman" w:cs="Times New Roman"/>
        </w:rPr>
        <w:t>Should Ms. Lynch admit to suicidal thoughts, the university may involuntarily withdraw her for medical reasons (Kaplin and Lee, 2014). This action is intended</w:t>
      </w:r>
      <w:r>
        <w:rPr>
          <w:rFonts w:ascii="Times New Roman" w:hAnsi="Times New Roman" w:cs="Times New Roman"/>
        </w:rPr>
        <w:t xml:space="preserve"> to allow her to concentrate on her wellbeing and to mitigate the risk of civil action on the part of her family. Should she be allowed to remain on campus and then act on her suicidal ideation, this creates significant legal risk for the university. An argument for allowing her to remain enrolled and on campus might be that she has easier access to mental health services on campus than off campus. Therefore, if there is no imminent threat of self-harm, involuntary withdrawal could be viewed as the “nuclear option” to be used only in the event that all other possibilities have been exhausted. However, if Ms. Lynch is in danger of failing her classes as well, it may be in her best interest to persuade her to withdraw voluntarily, as failing grades could jeopardize her financial aid. The UHS Counseling Center Director may wish to collaborate with her Academic Advisor regarding her academic options as the end of the semester nears.</w:t>
      </w:r>
    </w:p>
    <w:p w14:paraId="160A8BBF" w14:textId="6045CD25" w:rsidR="004D146F" w:rsidRDefault="00BD39BC" w:rsidP="00BF70F8">
      <w:pPr>
        <w:spacing w:line="480" w:lineRule="auto"/>
        <w:ind w:firstLine="360"/>
        <w:rPr>
          <w:rFonts w:ascii="Times New Roman" w:hAnsi="Times New Roman" w:cs="Times New Roman"/>
        </w:rPr>
      </w:pPr>
      <w:r>
        <w:rPr>
          <w:rFonts w:ascii="Times New Roman" w:hAnsi="Times New Roman" w:cs="Times New Roman"/>
        </w:rPr>
        <w:t xml:space="preserve">Two cases, </w:t>
      </w:r>
      <w:r w:rsidRPr="00BD39BC">
        <w:rPr>
          <w:rFonts w:ascii="Times New Roman" w:hAnsi="Times New Roman" w:cs="Times New Roman"/>
          <w:i/>
        </w:rPr>
        <w:t>Schieszler v. Ferrum College</w:t>
      </w:r>
      <w:r w:rsidRPr="00BD39BC">
        <w:rPr>
          <w:rFonts w:ascii="Times New Roman" w:hAnsi="Times New Roman" w:cs="Times New Roman"/>
        </w:rPr>
        <w:t xml:space="preserve"> and </w:t>
      </w:r>
      <w:r w:rsidRPr="00BD39BC">
        <w:rPr>
          <w:rFonts w:ascii="Times New Roman" w:hAnsi="Times New Roman" w:cs="Times New Roman"/>
          <w:i/>
        </w:rPr>
        <w:t>Shin v. Massachusetts Institute of Technology</w:t>
      </w:r>
      <w:r>
        <w:rPr>
          <w:rFonts w:ascii="Times New Roman" w:hAnsi="Times New Roman" w:cs="Times New Roman"/>
        </w:rPr>
        <w:t xml:space="preserve">, determined that a student suicide is considered foreseeable if the university possesses knowledge of the student’s suicidality (Kaplin and Lee, 2014). Due to this precedent, a wrongful death lawsuit against ULPSP could be brought </w:t>
      </w:r>
      <w:r w:rsidR="001B51D5">
        <w:rPr>
          <w:rFonts w:ascii="Times New Roman" w:hAnsi="Times New Roman" w:cs="Times New Roman"/>
        </w:rPr>
        <w:t xml:space="preserve">under MGL c.299, s2 </w:t>
      </w:r>
      <w:r>
        <w:rPr>
          <w:rFonts w:ascii="Times New Roman" w:hAnsi="Times New Roman" w:cs="Times New Roman"/>
        </w:rPr>
        <w:t xml:space="preserve">in the event that Ms. Lynch follows through on suicidal thoughts. Such an action would depend on the courts recognizing a special relationship between the Ms. Lynch and ULPSP, and a fiduciary duty on the part of the university to provide for Ms. Lynch’s safety while she lives on campus (Kaplin and Lee, 2014). Given that Ms. Lynch helps to support her family financially, damages could include loss of consortium. Therefore, it is imperative that the UHS Counseling Center Director be advised of the situation as soon as possible and be involved in crafting a solution. Given that Ms. Certainhouse and her supervisor will be following </w:t>
      </w:r>
      <w:r w:rsidRPr="00BD39BC">
        <w:rPr>
          <w:rFonts w:ascii="Times New Roman" w:hAnsi="Times New Roman" w:cs="Times New Roman"/>
        </w:rPr>
        <w:t>ULPSP Student Protocol for Distressed and Distressing Students</w:t>
      </w:r>
      <w:r>
        <w:rPr>
          <w:rFonts w:ascii="Times New Roman" w:hAnsi="Times New Roman" w:cs="Times New Roman"/>
        </w:rPr>
        <w:t>, damages may be mitigated as long as the protocol is deemed appropriate, and its instructions were implemented in a timely fashion. Damages may also be mitigated if the university can demonstrate that all reasonable and appropriate action was taken in a timely fashion in response to the situation.</w:t>
      </w:r>
      <w:r w:rsidR="002027F1">
        <w:rPr>
          <w:rFonts w:ascii="Times New Roman" w:hAnsi="Times New Roman" w:cs="Times New Roman"/>
        </w:rPr>
        <w:t xml:space="preserve"> This would prevent the parents from alleging deliberate indifference.</w:t>
      </w:r>
    </w:p>
    <w:p w14:paraId="00BC63B2" w14:textId="51C200C9" w:rsidR="00BD39BC" w:rsidRDefault="00BD39BC" w:rsidP="00BF70F8">
      <w:pPr>
        <w:spacing w:line="480" w:lineRule="auto"/>
        <w:ind w:firstLine="360"/>
        <w:rPr>
          <w:rFonts w:ascii="Times New Roman" w:hAnsi="Times New Roman" w:cs="Times New Roman"/>
        </w:rPr>
      </w:pPr>
      <w:r>
        <w:rPr>
          <w:rFonts w:ascii="Times New Roman" w:hAnsi="Times New Roman" w:cs="Times New Roman"/>
        </w:rPr>
        <w:t>Culturally, bringing in Ms. Lynch’s parents may complicate the situation. Like many Latinos in Massachusetts, they are Catholic. Catholic doctrines regarding the eternal fate of persons who commit suicide have been relaxed very recently, however, this change has not yet completely filtered down to rank-and-file parishioners</w:t>
      </w:r>
      <w:r w:rsidR="001B51D5">
        <w:rPr>
          <w:rFonts w:ascii="Times New Roman" w:hAnsi="Times New Roman" w:cs="Times New Roman"/>
        </w:rPr>
        <w:t xml:space="preserve"> (McKinless, 2018)</w:t>
      </w:r>
      <w:r>
        <w:rPr>
          <w:rFonts w:ascii="Times New Roman" w:hAnsi="Times New Roman" w:cs="Times New Roman"/>
        </w:rPr>
        <w:t>. Despite new Papal teaching on the topic, Ms. Lynch’s parents may still believe that their daughter is in danger of “going to hell”. They may wish to commit her to the psychiatric ward of a local hospital against her will, where she will not have access to anything that she could use to self-harm. This can be done under MGL c.123, s.12 by convincing a physician, psychologist, psychiatric nurse practitioner, or licensed social worker to do so following an examination. In the event that Ms. Lynch would follow through on her suicidal thoughts, her parents will likely experience additional distress due to their religious</w:t>
      </w:r>
      <w:r w:rsidR="002027F1">
        <w:rPr>
          <w:rFonts w:ascii="Times New Roman" w:hAnsi="Times New Roman" w:cs="Times New Roman"/>
        </w:rPr>
        <w:t xml:space="preserve"> beliefs. This consideration may impact </w:t>
      </w:r>
      <w:r>
        <w:rPr>
          <w:rFonts w:ascii="Times New Roman" w:hAnsi="Times New Roman" w:cs="Times New Roman"/>
        </w:rPr>
        <w:t>a potential wrongful death lawsuit</w:t>
      </w:r>
      <w:r w:rsidR="001B51D5">
        <w:rPr>
          <w:rFonts w:ascii="Times New Roman" w:hAnsi="Times New Roman" w:cs="Times New Roman"/>
        </w:rPr>
        <w:t>, but again, as ULPSP is a public institution, the tort cap would apply</w:t>
      </w:r>
      <w:r>
        <w:rPr>
          <w:rFonts w:ascii="Times New Roman" w:hAnsi="Times New Roman" w:cs="Times New Roman"/>
        </w:rPr>
        <w:t>.</w:t>
      </w:r>
    </w:p>
    <w:p w14:paraId="0456EB99" w14:textId="162EE7A8" w:rsidR="00BD39BC" w:rsidRPr="00D2244F" w:rsidRDefault="00D2244F" w:rsidP="00D2244F">
      <w:pPr>
        <w:jc w:val="center"/>
        <w:rPr>
          <w:rFonts w:ascii="Times New Roman" w:hAnsi="Times New Roman" w:cs="Times New Roman"/>
          <w:u w:val="single"/>
        </w:rPr>
      </w:pPr>
      <w:r w:rsidRPr="00D2244F">
        <w:rPr>
          <w:rFonts w:ascii="Times New Roman" w:hAnsi="Times New Roman" w:cs="Times New Roman"/>
          <w:u w:val="single"/>
        </w:rPr>
        <w:t>Part II: Long Answer</w:t>
      </w:r>
    </w:p>
    <w:p w14:paraId="70CB21D5" w14:textId="77777777" w:rsidR="00992D80" w:rsidRDefault="00992D80" w:rsidP="00992D80">
      <w:pPr>
        <w:rPr>
          <w:rFonts w:ascii="Times New Roman" w:hAnsi="Times New Roman" w:cs="Times New Roman"/>
        </w:rPr>
      </w:pPr>
    </w:p>
    <w:p w14:paraId="3BDDE762" w14:textId="353C1E7F" w:rsidR="00992D80" w:rsidRDefault="00D2244F" w:rsidP="00992D80">
      <w:pPr>
        <w:rPr>
          <w:rFonts w:ascii="Times New Roman" w:hAnsi="Times New Roman" w:cs="Times New Roman"/>
        </w:rPr>
      </w:pPr>
      <w:r>
        <w:rPr>
          <w:rFonts w:ascii="Times New Roman" w:hAnsi="Times New Roman" w:cs="Times New Roman"/>
        </w:rPr>
        <w:t>To: President Kathryn Kwame, PhD</w:t>
      </w:r>
    </w:p>
    <w:p w14:paraId="7A58F937" w14:textId="20416B4F" w:rsidR="00D2244F" w:rsidRDefault="00D2244F" w:rsidP="00992D80">
      <w:pPr>
        <w:rPr>
          <w:rFonts w:ascii="Times New Roman" w:hAnsi="Times New Roman" w:cs="Times New Roman"/>
        </w:rPr>
      </w:pPr>
      <w:r>
        <w:rPr>
          <w:rFonts w:ascii="Times New Roman" w:hAnsi="Times New Roman" w:cs="Times New Roman"/>
        </w:rPr>
        <w:t xml:space="preserve">From: Carolyn Frantz, M.Div., </w:t>
      </w:r>
      <w:r w:rsidRPr="00D2244F">
        <w:rPr>
          <w:rFonts w:ascii="Times New Roman" w:hAnsi="Times New Roman" w:cs="Times New Roman"/>
        </w:rPr>
        <w:t>Provost and Vice Chancellor for Academic Affairs</w:t>
      </w:r>
    </w:p>
    <w:p w14:paraId="1FFD8068" w14:textId="20DAD871" w:rsidR="00D2244F" w:rsidRDefault="00D2244F" w:rsidP="00992D80">
      <w:pPr>
        <w:rPr>
          <w:rFonts w:ascii="Times New Roman" w:hAnsi="Times New Roman" w:cs="Times New Roman"/>
        </w:rPr>
      </w:pPr>
      <w:r>
        <w:rPr>
          <w:rFonts w:ascii="Times New Roman" w:hAnsi="Times New Roman" w:cs="Times New Roman"/>
        </w:rPr>
        <w:t>Date: December 12, 2018</w:t>
      </w:r>
    </w:p>
    <w:p w14:paraId="6F54BCC6" w14:textId="6D31623A" w:rsidR="00D2244F" w:rsidRDefault="00D2244F" w:rsidP="00992D80">
      <w:pPr>
        <w:rPr>
          <w:rFonts w:ascii="Times New Roman" w:hAnsi="Times New Roman" w:cs="Times New Roman"/>
        </w:rPr>
      </w:pPr>
      <w:r>
        <w:rPr>
          <w:rFonts w:ascii="Times New Roman" w:hAnsi="Times New Roman" w:cs="Times New Roman"/>
        </w:rPr>
        <w:t>Re: Dismissal of Henrietta Lynch</w:t>
      </w:r>
    </w:p>
    <w:p w14:paraId="3E70170F" w14:textId="77777777" w:rsidR="00D2244F" w:rsidRDefault="00D2244F" w:rsidP="00992D80">
      <w:pPr>
        <w:rPr>
          <w:rFonts w:ascii="Times New Roman" w:hAnsi="Times New Roman" w:cs="Times New Roman"/>
        </w:rPr>
      </w:pPr>
    </w:p>
    <w:p w14:paraId="1A924BBA" w14:textId="5127B00C" w:rsidR="00D2244F" w:rsidRDefault="00D2244F" w:rsidP="00992D80">
      <w:pPr>
        <w:rPr>
          <w:rFonts w:ascii="Times New Roman" w:hAnsi="Times New Roman" w:cs="Times New Roman"/>
        </w:rPr>
      </w:pPr>
      <w:r>
        <w:rPr>
          <w:rFonts w:ascii="Times New Roman" w:hAnsi="Times New Roman" w:cs="Times New Roman"/>
        </w:rPr>
        <w:t>Message</w:t>
      </w:r>
    </w:p>
    <w:p w14:paraId="7A99AF12" w14:textId="77777777" w:rsidR="00D2244F" w:rsidRDefault="00D2244F" w:rsidP="00992D80">
      <w:pPr>
        <w:rPr>
          <w:rFonts w:ascii="Times New Roman" w:hAnsi="Times New Roman" w:cs="Times New Roman"/>
        </w:rPr>
      </w:pPr>
    </w:p>
    <w:p w14:paraId="3B71D7A7" w14:textId="46354CB0" w:rsidR="004E1B30" w:rsidRDefault="00DD337F" w:rsidP="00DD337F">
      <w:pPr>
        <w:spacing w:line="480" w:lineRule="auto"/>
        <w:rPr>
          <w:rFonts w:ascii="Times New Roman" w:hAnsi="Times New Roman" w:cs="Times New Roman"/>
        </w:rPr>
      </w:pPr>
      <w:r>
        <w:rPr>
          <w:rFonts w:ascii="Times New Roman" w:hAnsi="Times New Roman" w:cs="Times New Roman"/>
        </w:rPr>
        <w:t xml:space="preserve">        Upon examination of the facts concerning both of Ms. Lynch’s periods of attendance, I recommend that her dismissal be upheld. During Ms. Lynch’s time at ULPSP Medical School, our various support staff, student advisors, and officers have acted thoughtfully and according to university guidelines, without arbitrariness or capriciousness. </w:t>
      </w:r>
      <w:r w:rsidR="005F5B50">
        <w:rPr>
          <w:rFonts w:ascii="Times New Roman" w:hAnsi="Times New Roman" w:cs="Times New Roman"/>
        </w:rPr>
        <w:t>Although she could contest her dismissal in a court of law, such an action is not likely to succeed because members of the ULPSP academic community have followed both our own policies and rules, and the laws which the university is accountable to uphold.</w:t>
      </w:r>
    </w:p>
    <w:p w14:paraId="3FD07585" w14:textId="43BB9730" w:rsidR="001F734A" w:rsidRDefault="00660920" w:rsidP="00DD337F">
      <w:pPr>
        <w:spacing w:line="480" w:lineRule="auto"/>
        <w:rPr>
          <w:rFonts w:ascii="Times New Roman" w:hAnsi="Times New Roman" w:cs="Times New Roman"/>
        </w:rPr>
      </w:pPr>
      <w:r>
        <w:rPr>
          <w:rFonts w:ascii="Times New Roman" w:hAnsi="Times New Roman" w:cs="Times New Roman"/>
        </w:rPr>
        <w:tab/>
        <w:t>A central concern</w:t>
      </w:r>
      <w:r w:rsidR="001F734A">
        <w:rPr>
          <w:rFonts w:ascii="Times New Roman" w:hAnsi="Times New Roman" w:cs="Times New Roman"/>
        </w:rPr>
        <w:t xml:space="preserve"> in Ms. Lynch’s situation is the rights guaranteed with individuals with disabilities by the </w:t>
      </w:r>
      <w:r w:rsidR="001F734A" w:rsidRPr="001F734A">
        <w:rPr>
          <w:rFonts w:ascii="Times New Roman" w:hAnsi="Times New Roman" w:cs="Times New Roman"/>
        </w:rPr>
        <w:t>Americans with Disabilities Act (A</w:t>
      </w:r>
      <w:r w:rsidR="001F734A">
        <w:rPr>
          <w:rFonts w:ascii="Times New Roman" w:hAnsi="Times New Roman" w:cs="Times New Roman"/>
        </w:rPr>
        <w:t>DA), 42 U.S.C. §§ 12101 et seq. and</w:t>
      </w:r>
      <w:r w:rsidR="001F734A" w:rsidRPr="001F734A">
        <w:rPr>
          <w:rFonts w:ascii="Times New Roman" w:hAnsi="Times New Roman" w:cs="Times New Roman"/>
        </w:rPr>
        <w:t xml:space="preserve"> Section 504 of the Rehabilitation Act, 29 U.S.C. § 794</w:t>
      </w:r>
      <w:r w:rsidR="001F734A">
        <w:rPr>
          <w:rFonts w:ascii="Times New Roman" w:hAnsi="Times New Roman" w:cs="Times New Roman"/>
        </w:rPr>
        <w:t>. The seminal case</w:t>
      </w:r>
      <w:r w:rsidR="001F734A" w:rsidRPr="001F734A">
        <w:rPr>
          <w:rFonts w:ascii="Times New Roman" w:hAnsi="Times New Roman" w:cs="Times New Roman"/>
        </w:rPr>
        <w:t xml:space="preserve"> </w:t>
      </w:r>
      <w:r w:rsidR="001F734A" w:rsidRPr="001F734A">
        <w:rPr>
          <w:rFonts w:ascii="Times New Roman" w:hAnsi="Times New Roman" w:cs="Times New Roman"/>
          <w:i/>
        </w:rPr>
        <w:t>Southeastern Community College v. Davis</w:t>
      </w:r>
      <w:r w:rsidR="001F734A">
        <w:rPr>
          <w:rFonts w:ascii="Times New Roman" w:hAnsi="Times New Roman" w:cs="Times New Roman"/>
        </w:rPr>
        <w:t xml:space="preserve">, 442 U.S. 397 (1979) set the standard by which Ms. Lynch was admitted to ULPSP Medical School: an </w:t>
      </w:r>
      <w:r w:rsidR="001F734A" w:rsidRPr="001F734A">
        <w:rPr>
          <w:rFonts w:ascii="Times New Roman" w:hAnsi="Times New Roman" w:cs="Times New Roman"/>
        </w:rPr>
        <w:t>“</w:t>
      </w:r>
      <w:r w:rsidR="001F734A">
        <w:rPr>
          <w:rFonts w:ascii="Times New Roman" w:hAnsi="Times New Roman" w:cs="Times New Roman"/>
        </w:rPr>
        <w:t>‘</w:t>
      </w:r>
      <w:r w:rsidR="001F734A" w:rsidRPr="001F734A">
        <w:rPr>
          <w:rFonts w:ascii="Times New Roman" w:hAnsi="Times New Roman" w:cs="Times New Roman"/>
        </w:rPr>
        <w:t>otherwise qualifi</w:t>
      </w:r>
      <w:r w:rsidR="001F734A">
        <w:rPr>
          <w:rFonts w:ascii="Times New Roman" w:hAnsi="Times New Roman" w:cs="Times New Roman"/>
        </w:rPr>
        <w:t>ed handicapped individual’</w:t>
      </w:r>
      <w:r w:rsidR="001F734A" w:rsidRPr="001F734A">
        <w:rPr>
          <w:rFonts w:ascii="Times New Roman" w:hAnsi="Times New Roman" w:cs="Times New Roman"/>
        </w:rPr>
        <w:t xml:space="preserve"> protected by Section 504 is one who is qualified in spite of his or her</w:t>
      </w:r>
      <w:r w:rsidR="001F734A">
        <w:rPr>
          <w:rFonts w:ascii="Times New Roman" w:hAnsi="Times New Roman" w:cs="Times New Roman"/>
        </w:rPr>
        <w:t xml:space="preserve"> disability, and thus…</w:t>
      </w:r>
      <w:r w:rsidR="001F734A" w:rsidRPr="001F734A">
        <w:rPr>
          <w:rFonts w:ascii="Times New Roman" w:hAnsi="Times New Roman" w:cs="Times New Roman"/>
        </w:rPr>
        <w:t xml:space="preserve"> the institution need not make major program modification</w:t>
      </w:r>
      <w:r w:rsidR="001F734A">
        <w:rPr>
          <w:rFonts w:ascii="Times New Roman" w:hAnsi="Times New Roman" w:cs="Times New Roman"/>
        </w:rPr>
        <w:t xml:space="preserve">s to accommodate the individual” (Kaplin and Lee, 2014, 179). Ms. Lynch was deemed qualified to study medicine at ULPSP because she was judged able to meet the </w:t>
      </w:r>
      <w:r>
        <w:rPr>
          <w:rFonts w:ascii="Times New Roman" w:hAnsi="Times New Roman" w:cs="Times New Roman"/>
        </w:rPr>
        <w:t xml:space="preserve">AAMC and ULPSP </w:t>
      </w:r>
      <w:r w:rsidR="001F734A">
        <w:rPr>
          <w:rFonts w:ascii="Times New Roman" w:hAnsi="Times New Roman" w:cs="Times New Roman"/>
        </w:rPr>
        <w:t xml:space="preserve">academic and technical standards for admission. </w:t>
      </w:r>
      <w:r>
        <w:rPr>
          <w:rFonts w:ascii="Times New Roman" w:hAnsi="Times New Roman" w:cs="Times New Roman"/>
        </w:rPr>
        <w:t xml:space="preserve">That our Medical School conforms to AAMC standards ensures that the university applies the same standards used at every medical school in the country, and applies them to every medical student we graduate. </w:t>
      </w:r>
      <w:r w:rsidR="001F734A">
        <w:rPr>
          <w:rFonts w:ascii="Times New Roman" w:hAnsi="Times New Roman" w:cs="Times New Roman"/>
        </w:rPr>
        <w:t xml:space="preserve">However, when the Medical School confidentially inquired as to her needs (Kaplin and Lee, 2014), she only reported her physical disability; she did not report her ADHD or her anxiety disorder, nor did she request accommodations connected with her emotional and neurological needs. </w:t>
      </w:r>
      <w:r>
        <w:rPr>
          <w:rFonts w:ascii="Times New Roman" w:hAnsi="Times New Roman" w:cs="Times New Roman"/>
        </w:rPr>
        <w:t xml:space="preserve">Indeed, the university did not become aware of her additional disabilities until she returned from medical leave. </w:t>
      </w:r>
    </w:p>
    <w:p w14:paraId="6D6EFAD3" w14:textId="511C3534" w:rsidR="00660920" w:rsidRDefault="00660920" w:rsidP="00DD337F">
      <w:pPr>
        <w:spacing w:line="480" w:lineRule="auto"/>
        <w:rPr>
          <w:rFonts w:ascii="Times New Roman" w:hAnsi="Times New Roman" w:cs="Times New Roman"/>
        </w:rPr>
      </w:pPr>
      <w:r>
        <w:rPr>
          <w:rFonts w:ascii="Times New Roman" w:hAnsi="Times New Roman" w:cs="Times New Roman"/>
        </w:rPr>
        <w:tab/>
        <w:t xml:space="preserve">Ms. Lynch alleges that the university must re-admit her under a disability discrimination theory. We have two strong defenses against this allegation. First, the precedent set for such a case, </w:t>
      </w:r>
      <w:r w:rsidRPr="00660920">
        <w:rPr>
          <w:rFonts w:ascii="Times New Roman" w:hAnsi="Times New Roman" w:cs="Times New Roman"/>
          <w:i/>
        </w:rPr>
        <w:t>United States v. Georgia</w:t>
      </w:r>
      <w:r w:rsidRPr="00660920">
        <w:rPr>
          <w:rFonts w:ascii="Times New Roman" w:hAnsi="Times New Roman" w:cs="Times New Roman"/>
        </w:rPr>
        <w:t>, 546 U.S. 151 (2006)</w:t>
      </w:r>
      <w:r>
        <w:rPr>
          <w:rFonts w:ascii="Times New Roman" w:hAnsi="Times New Roman" w:cs="Times New Roman"/>
        </w:rPr>
        <w:t>, indicates that this theory can succeed with a due process claim. However, we have followed the processes set forth in the Academic Policies and Procedures section of the ULPSP Academic Catalog. The Student Advisory board, the Academic Reviewing Committee, and the Dean of the Medical School followed the Catalog’s processes and procedures regarding appeals to her dismissal decision and</w:t>
      </w:r>
      <w:r w:rsidR="00FA13E0">
        <w:rPr>
          <w:rFonts w:ascii="Times New Roman" w:hAnsi="Times New Roman" w:cs="Times New Roman"/>
        </w:rPr>
        <w:t xml:space="preserve"> appeals for readmission. Notice was given to Ms. Lynch in a timely </w:t>
      </w:r>
      <w:r>
        <w:rPr>
          <w:rFonts w:ascii="Times New Roman" w:hAnsi="Times New Roman" w:cs="Times New Roman"/>
        </w:rPr>
        <w:t>timely fashion. Decisions were made on the basis of the standards to which we hold all of our medical students. Hearings conducted by the Student Advisors, the Reviewing Committee, and the Dean all allowed Ms. Lynch to present her perspective. She was afforded ample time to explain why she should not be dismissed each t</w:t>
      </w:r>
      <w:r w:rsidR="00FA13E0">
        <w:rPr>
          <w:rFonts w:ascii="Times New Roman" w:hAnsi="Times New Roman" w:cs="Times New Roman"/>
        </w:rPr>
        <w:t>ime and given the opportunity to present evidence (Neal-Johnson, S.D., 2018). Ms. Lynch’s</w:t>
      </w:r>
      <w:r>
        <w:rPr>
          <w:rFonts w:ascii="Times New Roman" w:hAnsi="Times New Roman" w:cs="Times New Roman"/>
        </w:rPr>
        <w:t xml:space="preserve"> argument was that the incidents of unprofessionalism and clinical failure were aberrations. Both committees and the Dean reviewed the entirety of her file, and determined that these incidents were not aberrations; rather, they constitute a pattern of behavior unbecoming of a physician. Poor clinical judgment is dangerous for patients, and will result in failure in the residency phase of medical training. Hospitals and medical practices nationwide, as well as the AAMC, must be able to trust the high quality of ULPSP Medical School graduates. Cases such as </w:t>
      </w:r>
      <w:r w:rsidRPr="00660920">
        <w:rPr>
          <w:rFonts w:ascii="Times New Roman" w:hAnsi="Times New Roman" w:cs="Times New Roman"/>
          <w:i/>
        </w:rPr>
        <w:t>Zukle v. Regents of the University of California</w:t>
      </w:r>
      <w:r w:rsidRPr="00660920">
        <w:rPr>
          <w:rFonts w:ascii="Times New Roman" w:hAnsi="Times New Roman" w:cs="Times New Roman"/>
        </w:rPr>
        <w:t>, 166 F.3d 1041 (9th Cir. 1999)</w:t>
      </w:r>
      <w:r>
        <w:rPr>
          <w:rFonts w:ascii="Times New Roman" w:hAnsi="Times New Roman" w:cs="Times New Roman"/>
        </w:rPr>
        <w:t xml:space="preserve"> support the imperative that all medical students, even those with disabilities, must still meet the minimum standards of the academic program (Kaplin and Lee, 2014).</w:t>
      </w:r>
      <w:r w:rsidR="00FA13E0">
        <w:rPr>
          <w:rFonts w:ascii="Times New Roman" w:hAnsi="Times New Roman" w:cs="Times New Roman"/>
        </w:rPr>
        <w:t xml:space="preserve"> </w:t>
      </w:r>
      <w:r w:rsidR="00FA13E0">
        <w:rPr>
          <w:rFonts w:ascii="Times New Roman" w:hAnsi="Times New Roman" w:cs="Times New Roman"/>
        </w:rPr>
        <w:t xml:space="preserve">It is not in the interest of the university to graduate a clinician not capable of </w:t>
      </w:r>
      <w:r w:rsidR="009F64EB">
        <w:rPr>
          <w:rFonts w:ascii="Times New Roman" w:hAnsi="Times New Roman" w:cs="Times New Roman"/>
        </w:rPr>
        <w:t>completing residency, nor is it in the best interest of the student in question. Dismissing Ms. Lynch at this juncture mitigated risk to her as a student.</w:t>
      </w:r>
    </w:p>
    <w:p w14:paraId="093EB421" w14:textId="33D52C7C" w:rsidR="00660920" w:rsidRDefault="00660920" w:rsidP="00DD337F">
      <w:pPr>
        <w:spacing w:line="480" w:lineRule="auto"/>
        <w:rPr>
          <w:rFonts w:ascii="Times New Roman" w:hAnsi="Times New Roman" w:cs="Times New Roman"/>
        </w:rPr>
      </w:pPr>
      <w:r>
        <w:rPr>
          <w:rFonts w:ascii="Times New Roman" w:hAnsi="Times New Roman" w:cs="Times New Roman"/>
        </w:rPr>
        <w:tab/>
        <w:t xml:space="preserve">Furthermore, Ms. Lynch’s allegations that the decisions made by our adjudicatory bodies and Dean were due to her hitherto undisclosed disabilities do not square with her reasoning in academic hearings. Her reasoning, and that of our admissions team, was that she is “otherwise qualified” to complete the medical doctorate program of study. She cannot be simultaneously qualified in spite of her disabilities, and yet blame her failures on her disabilities. Moreover, neither her ADHD nor anxiety disorder affect her ability to display professional behavior at all times. They are not disabilities that impair social functioning. </w:t>
      </w:r>
      <w:r>
        <w:rPr>
          <w:rFonts w:ascii="Times New Roman" w:hAnsi="Times New Roman" w:cs="Times New Roman"/>
        </w:rPr>
        <w:t>Kapin and Lee write, “</w:t>
      </w:r>
      <w:r w:rsidRPr="00660920">
        <w:rPr>
          <w:rFonts w:ascii="Times New Roman" w:hAnsi="Times New Roman" w:cs="Times New Roman"/>
        </w:rPr>
        <w:t xml:space="preserve">Students dismissed for misconduct unrelated to their disability cannot find relief from the courts; see </w:t>
      </w:r>
      <w:r w:rsidRPr="00660920">
        <w:rPr>
          <w:rFonts w:ascii="Times New Roman" w:hAnsi="Times New Roman" w:cs="Times New Roman"/>
          <w:i/>
        </w:rPr>
        <w:t>Herzo</w:t>
      </w:r>
      <w:r w:rsidRPr="00660920">
        <w:rPr>
          <w:rFonts w:ascii="Times New Roman" w:hAnsi="Times New Roman" w:cs="Times New Roman"/>
          <w:i/>
        </w:rPr>
        <w:t>g v. Loyola College in Maryland</w:t>
      </w:r>
      <w:r w:rsidRPr="00660920">
        <w:rPr>
          <w:rFonts w:ascii="Times New Roman" w:hAnsi="Times New Roman" w:cs="Times New Roman"/>
          <w:i/>
        </w:rPr>
        <w:t>,</w:t>
      </w:r>
      <w:r w:rsidRPr="00660920">
        <w:rPr>
          <w:rFonts w:ascii="Times New Roman" w:hAnsi="Times New Roman" w:cs="Times New Roman"/>
        </w:rPr>
        <w:t xml:space="preserve"> 2009 U.S. Dist. LEXIS 94454 (D. Md. October 9, 2009).</w:t>
      </w:r>
      <w:r>
        <w:rPr>
          <w:rFonts w:ascii="Times New Roman" w:hAnsi="Times New Roman" w:cs="Times New Roman"/>
        </w:rPr>
        <w:t>” (2014, 530).</w:t>
      </w:r>
      <w:r>
        <w:rPr>
          <w:rFonts w:ascii="Times New Roman" w:hAnsi="Times New Roman" w:cs="Times New Roman"/>
        </w:rPr>
        <w:t xml:space="preserve"> Failures of professionalism can be seen as a type of misconduct in the medical setting.</w:t>
      </w:r>
    </w:p>
    <w:p w14:paraId="46A43138" w14:textId="585A9F72" w:rsidR="00660920" w:rsidRDefault="00660920" w:rsidP="00660920">
      <w:pPr>
        <w:spacing w:line="480" w:lineRule="auto"/>
        <w:ind w:firstLine="720"/>
        <w:rPr>
          <w:rFonts w:ascii="Times New Roman" w:hAnsi="Times New Roman" w:cs="Times New Roman"/>
        </w:rPr>
      </w:pPr>
      <w:r>
        <w:rPr>
          <w:rFonts w:ascii="Times New Roman" w:hAnsi="Times New Roman" w:cs="Times New Roman"/>
        </w:rPr>
        <w:t>Finally, as to her clinical reasoning, Ms. Lynch’s ADHD cannot be found solely responsible for her failures in this area. A number of ULPSP medical students with ADHD have successfully completed our program</w:t>
      </w:r>
      <w:r w:rsidR="009F64EB">
        <w:rPr>
          <w:rFonts w:ascii="Times New Roman" w:hAnsi="Times New Roman" w:cs="Times New Roman"/>
        </w:rPr>
        <w:t>, both with and without accommodation</w:t>
      </w:r>
      <w:r>
        <w:rPr>
          <w:rFonts w:ascii="Times New Roman" w:hAnsi="Times New Roman" w:cs="Times New Roman"/>
        </w:rPr>
        <w:t xml:space="preserve">. </w:t>
      </w:r>
      <w:r w:rsidR="009F64EB">
        <w:rPr>
          <w:rFonts w:ascii="Times New Roman" w:hAnsi="Times New Roman" w:cs="Times New Roman"/>
        </w:rPr>
        <w:t xml:space="preserve">I consulted the Director of Disability Services, who confirmed that the services Ms. Lynch did request were utilized. The Director’s perspective, based on her professional experience, is that Ms. Lynch was properly accommodated. </w:t>
      </w:r>
      <w:r>
        <w:rPr>
          <w:rFonts w:ascii="Times New Roman" w:hAnsi="Times New Roman" w:cs="Times New Roman"/>
        </w:rPr>
        <w:t xml:space="preserve">Yet even a disorder that affects attentiveness cannot fully explain her lapses in clinical judgment. The major clinical mistakes she has made indicate that she has not fully learned and operationalized the information learned in the didactic phase of our program. As Ms. Lynch earned acceptable grades during this phase, the option of remediating by asking her to repeat a year of medical school is not available in her case. Even the reasonable accommodations to Ms. Lynch’s disabilities, which were provided upon her eventual request, could not ameliorate the deficiencies in her clinical work. As in </w:t>
      </w:r>
      <w:r w:rsidRPr="00660920">
        <w:rPr>
          <w:rFonts w:ascii="Times New Roman" w:hAnsi="Times New Roman" w:cs="Times New Roman"/>
          <w:i/>
        </w:rPr>
        <w:t>Wong v. Regents of the University of California</w:t>
      </w:r>
      <w:r w:rsidRPr="00660920">
        <w:rPr>
          <w:rFonts w:ascii="Times New Roman" w:hAnsi="Times New Roman" w:cs="Times New Roman"/>
        </w:rPr>
        <w:t>, 192 F.3d 807 (9th Cir. 1999)</w:t>
      </w:r>
      <w:r>
        <w:rPr>
          <w:rFonts w:ascii="Times New Roman" w:hAnsi="Times New Roman" w:cs="Times New Roman"/>
        </w:rPr>
        <w:t xml:space="preserve">, in order to successfully bring action under the ADA, and Section 504, Ms. Lynch would need to demonstrate that the Dean’s decision was not well-reasoned and that her accommodations were insufficient. Neither of these are the case in Ms. Lynch’s situation. Therefore, the university can demonstrate that Ms. Lynch was not dismissed on the basis of her disability, but on the basis of her performance, and that all other options were exhausted prior to the dismissal. </w:t>
      </w:r>
    </w:p>
    <w:p w14:paraId="736F43F0" w14:textId="357402F9" w:rsidR="00660920" w:rsidRDefault="009F64EB" w:rsidP="00DD337F">
      <w:pPr>
        <w:spacing w:line="480" w:lineRule="auto"/>
        <w:rPr>
          <w:rFonts w:ascii="Times New Roman" w:hAnsi="Times New Roman" w:cs="Times New Roman"/>
        </w:rPr>
      </w:pPr>
      <w:r>
        <w:rPr>
          <w:rFonts w:ascii="Times New Roman" w:hAnsi="Times New Roman" w:cs="Times New Roman"/>
        </w:rPr>
        <w:tab/>
        <w:t>As to the question of whether there was a violation of the American Disabilities Act and Section 504 of the Rehabilitation Act, it is very unlikely there was a violation</w:t>
      </w:r>
      <w:r>
        <w:rPr>
          <w:rFonts w:ascii="Times New Roman" w:hAnsi="Times New Roman" w:cs="Times New Roman"/>
        </w:rPr>
        <w:t xml:space="preserve">. </w:t>
      </w:r>
      <w:r>
        <w:rPr>
          <w:rFonts w:ascii="Times New Roman" w:hAnsi="Times New Roman" w:cs="Times New Roman"/>
        </w:rPr>
        <w:t>Because the university properly accommodated Ms. Lynch, the university was not negligent in its duty of care to her as a student. Because ULPSP did not dismiss her based upon her disability, the university was neither negligent nor arbitrary or capricious in its academic decision-making.</w:t>
      </w:r>
    </w:p>
    <w:p w14:paraId="75E6D43A" w14:textId="7043DE8B" w:rsidR="009F64EB" w:rsidRDefault="009F64EB" w:rsidP="00DD337F">
      <w:pPr>
        <w:spacing w:line="480" w:lineRule="auto"/>
        <w:rPr>
          <w:rFonts w:ascii="Times New Roman" w:hAnsi="Times New Roman" w:cs="Times New Roman"/>
        </w:rPr>
      </w:pPr>
      <w:r>
        <w:rPr>
          <w:rFonts w:ascii="Times New Roman" w:hAnsi="Times New Roman" w:cs="Times New Roman"/>
        </w:rPr>
        <w:tab/>
        <w:t>Likewise, were Ms. Lynch to bring a civil cause of action under MGL c.151(B), it is unlikely there would be a violation. Because ULPSP did not bar her from admission, refuse to accommodate her, or dismiss her based upon her disability, the university acted in accordance with state law. As to the question of whether Ms. Lynch experienced racial discrimination, it is likely that there was no violation. Given that multiple professors, preceptors, and adjudicatory boards evaluated her performance, the likelihood of bias in evaluation of Ms. Lynch was reduced. Furthermore, their adherence to AAMC standards in her case and others’ cases demonstrates fairness in applying academic standards across the student body, regardless of race. Using the AAMC (national) standards for evaluating students reduces our exposure to risk in this situation.</w:t>
      </w:r>
    </w:p>
    <w:p w14:paraId="69F888C1" w14:textId="7EA3488C" w:rsidR="009F64EB" w:rsidRDefault="009F64EB" w:rsidP="00DD337F">
      <w:pPr>
        <w:spacing w:line="480" w:lineRule="auto"/>
        <w:rPr>
          <w:rFonts w:ascii="Times New Roman" w:hAnsi="Times New Roman" w:cs="Times New Roman"/>
        </w:rPr>
      </w:pPr>
      <w:r>
        <w:rPr>
          <w:rFonts w:ascii="Times New Roman" w:hAnsi="Times New Roman" w:cs="Times New Roman"/>
        </w:rPr>
        <w:tab/>
        <w:t xml:space="preserve">As to the question of whether there was a violation of Ms. Lynch’s constitutional rights to due process, it is very unlikely there was a violation. Both our student and staff adjudicatory bodies fulfilled the three elements of due process: timely notice, the opportunity to be heard, and the opportunity to present evidence (Neal-Johson, S.D., 2018). Ms. Lynch took advantage of her rights to be heard and to present evidence at both hearings. Upon her appeal to the Dean, Ms. Lynch was informed well in advance of the timing of the Dean’s evaluation of her case. The Dean carefully considered the testimony and evidence she gave at both hearings and came to the same conclusion as the bodies whose decisions Ms. Lynch appealed. Ms. Lynch was also given the opportunity to explain her case to the Dean directly, which she utilized. Because every element of due process was followed at every stage of academic decision-making, Ms. Lynch’s due process rights were not violated. </w:t>
      </w:r>
    </w:p>
    <w:p w14:paraId="3F6A38FB" w14:textId="77777777" w:rsidR="00473D7F" w:rsidRDefault="00660920" w:rsidP="00DD337F">
      <w:pPr>
        <w:spacing w:line="480" w:lineRule="auto"/>
        <w:rPr>
          <w:rFonts w:ascii="Times New Roman" w:hAnsi="Times New Roman" w:cs="Times New Roman"/>
        </w:rPr>
      </w:pPr>
      <w:r>
        <w:rPr>
          <w:rFonts w:ascii="Times New Roman" w:hAnsi="Times New Roman" w:cs="Times New Roman"/>
        </w:rPr>
        <w:tab/>
      </w:r>
      <w:r w:rsidR="009F64EB">
        <w:rPr>
          <w:rFonts w:ascii="Times New Roman" w:hAnsi="Times New Roman" w:cs="Times New Roman"/>
        </w:rPr>
        <w:t>ULPSP would likely be successful should Ms. Lynch follow through on her intent to bring civil action on the basis of the ADA</w:t>
      </w:r>
      <w:r w:rsidR="009F64EB">
        <w:rPr>
          <w:rFonts w:ascii="Times New Roman" w:hAnsi="Times New Roman" w:cs="Times New Roman"/>
        </w:rPr>
        <w:t xml:space="preserve">, Section 504 of the Rehabilitation Act, MGL c.151(B), and/or the First and Fourteenth Amendments of the federal Constitution. Beyond the facts of the case presented </w:t>
      </w:r>
      <w:r w:rsidR="009F64EB" w:rsidRPr="009F64EB">
        <w:rPr>
          <w:rFonts w:ascii="Times New Roman" w:hAnsi="Times New Roman" w:cs="Times New Roman"/>
          <w:i/>
        </w:rPr>
        <w:t>prima facie</w:t>
      </w:r>
      <w:r w:rsidR="009F64EB">
        <w:rPr>
          <w:rFonts w:ascii="Times New Roman" w:hAnsi="Times New Roman" w:cs="Times New Roman"/>
        </w:rPr>
        <w:t>, as explained above, the courts generally accord deference institutions of higher education in matters of educational expertise (Lake, 2011; Kaplin and Lee, 2014). The university can demonstrate that the matter of Ms. Lynch’s dismissal was based purely upon her academic difficulties as evaluated using AAMC standards. While it would be wise to engage university counsel in preparation for this case, it is unlikely that injunctive or administrative relief will be ordered, or that the university will be liable for money damages.</w:t>
      </w:r>
      <w:r w:rsidR="00473D7F">
        <w:rPr>
          <w:rFonts w:ascii="Times New Roman" w:hAnsi="Times New Roman" w:cs="Times New Roman"/>
        </w:rPr>
        <w:t xml:space="preserve"> </w:t>
      </w:r>
    </w:p>
    <w:p w14:paraId="3364F8FA" w14:textId="6918D697" w:rsidR="00660920" w:rsidRDefault="00473D7F" w:rsidP="00473D7F">
      <w:pPr>
        <w:spacing w:line="480" w:lineRule="auto"/>
        <w:ind w:firstLine="720"/>
        <w:rPr>
          <w:rFonts w:ascii="Times New Roman" w:hAnsi="Times New Roman" w:cs="Times New Roman"/>
        </w:rPr>
      </w:pPr>
      <w:r>
        <w:rPr>
          <w:rFonts w:ascii="Times New Roman" w:hAnsi="Times New Roman" w:cs="Times New Roman"/>
        </w:rPr>
        <w:t xml:space="preserve">Going forward, we may want to study Ms. Lynch’s case </w:t>
      </w:r>
      <w:r w:rsidRPr="00473D7F">
        <w:rPr>
          <w:rFonts w:ascii="Times New Roman" w:hAnsi="Times New Roman" w:cs="Times New Roman"/>
          <w:i/>
        </w:rPr>
        <w:t>ex post facto</w:t>
      </w:r>
      <w:r>
        <w:rPr>
          <w:rFonts w:ascii="Times New Roman" w:hAnsi="Times New Roman" w:cs="Times New Roman"/>
        </w:rPr>
        <w:t xml:space="preserve"> to determine whether there may be ways to prevent similar issues in the future. This may be accomplished by updating our confidential disability questionnaire and/or evaluating our admissions process to determine whether predictors of good clinical judgment can be identified.</w:t>
      </w:r>
    </w:p>
    <w:p w14:paraId="1DC7A623" w14:textId="77777777" w:rsidR="009F64EB" w:rsidRDefault="009F64EB" w:rsidP="00DD337F">
      <w:pPr>
        <w:spacing w:line="480" w:lineRule="auto"/>
        <w:rPr>
          <w:rFonts w:ascii="Times New Roman" w:hAnsi="Times New Roman" w:cs="Times New Roman"/>
        </w:rPr>
      </w:pPr>
    </w:p>
    <w:p w14:paraId="1B53464F" w14:textId="77777777" w:rsidR="009F64EB" w:rsidRDefault="009F64EB" w:rsidP="00DD337F">
      <w:pPr>
        <w:spacing w:line="480" w:lineRule="auto"/>
        <w:rPr>
          <w:rFonts w:ascii="Times New Roman" w:hAnsi="Times New Roman" w:cs="Times New Roman"/>
        </w:rPr>
      </w:pPr>
    </w:p>
    <w:p w14:paraId="7D918932" w14:textId="77777777" w:rsidR="00473D7F" w:rsidRDefault="00473D7F" w:rsidP="00DD337F">
      <w:pPr>
        <w:spacing w:line="480" w:lineRule="auto"/>
        <w:rPr>
          <w:rFonts w:ascii="Times New Roman" w:hAnsi="Times New Roman" w:cs="Times New Roman"/>
        </w:rPr>
      </w:pPr>
    </w:p>
    <w:p w14:paraId="40084DD7" w14:textId="77777777" w:rsidR="009F64EB" w:rsidRDefault="009F64EB" w:rsidP="00DD337F">
      <w:pPr>
        <w:spacing w:line="480" w:lineRule="auto"/>
        <w:rPr>
          <w:rFonts w:ascii="Times New Roman" w:hAnsi="Times New Roman" w:cs="Times New Roman"/>
        </w:rPr>
      </w:pPr>
    </w:p>
    <w:p w14:paraId="57202F65" w14:textId="56CE5009" w:rsidR="004E1B30" w:rsidRPr="004E1B30" w:rsidRDefault="004E1B30" w:rsidP="004E1B30">
      <w:pPr>
        <w:jc w:val="center"/>
        <w:rPr>
          <w:rFonts w:ascii="Times New Roman" w:hAnsi="Times New Roman" w:cs="Times New Roman"/>
          <w:b/>
        </w:rPr>
      </w:pPr>
      <w:r w:rsidRPr="004E1B30">
        <w:rPr>
          <w:rFonts w:ascii="Times New Roman" w:hAnsi="Times New Roman" w:cs="Times New Roman"/>
          <w:b/>
        </w:rPr>
        <w:t>References</w:t>
      </w:r>
    </w:p>
    <w:p w14:paraId="08C709C4" w14:textId="77777777" w:rsidR="004E1B30" w:rsidRDefault="004E1B30" w:rsidP="00992D80">
      <w:pPr>
        <w:rPr>
          <w:rFonts w:ascii="Times New Roman" w:hAnsi="Times New Roman" w:cs="Times New Roman"/>
        </w:rPr>
      </w:pPr>
    </w:p>
    <w:p w14:paraId="62E77CE7" w14:textId="77777777" w:rsidR="00CA2044" w:rsidRDefault="00CA2044" w:rsidP="004E1B30">
      <w:pPr>
        <w:rPr>
          <w:rFonts w:ascii="Times New Roman" w:hAnsi="Times New Roman" w:cs="Times New Roman"/>
        </w:rPr>
      </w:pPr>
      <w:r>
        <w:rPr>
          <w:rFonts w:ascii="Times New Roman" w:hAnsi="Times New Roman" w:cs="Times New Roman"/>
        </w:rPr>
        <w:t xml:space="preserve">Anderson, N. (2018, October 15). </w:t>
      </w:r>
      <w:r w:rsidRPr="00CA2044">
        <w:rPr>
          <w:rFonts w:ascii="Times New Roman" w:hAnsi="Times New Roman" w:cs="Times New Roman"/>
        </w:rPr>
        <w:t xml:space="preserve">Harvard admissions trial opens with university accused of bias </w:t>
      </w:r>
    </w:p>
    <w:p w14:paraId="71FBB76E" w14:textId="65AF9510" w:rsidR="00CA2044" w:rsidRDefault="00CA2044" w:rsidP="00CA2044">
      <w:pPr>
        <w:ind w:left="720"/>
        <w:rPr>
          <w:rFonts w:ascii="Times New Roman" w:hAnsi="Times New Roman" w:cs="Times New Roman"/>
        </w:rPr>
      </w:pPr>
      <w:r w:rsidRPr="00CA2044">
        <w:rPr>
          <w:rFonts w:ascii="Times New Roman" w:hAnsi="Times New Roman" w:cs="Times New Roman"/>
        </w:rPr>
        <w:t>against Asian Americans</w:t>
      </w:r>
      <w:r>
        <w:rPr>
          <w:rFonts w:ascii="Times New Roman" w:hAnsi="Times New Roman" w:cs="Times New Roman"/>
        </w:rPr>
        <w:t xml:space="preserve">. </w:t>
      </w:r>
      <w:r w:rsidRPr="00CA2044">
        <w:rPr>
          <w:rFonts w:ascii="Times New Roman" w:hAnsi="Times New Roman" w:cs="Times New Roman"/>
          <w:i/>
        </w:rPr>
        <w:t>The Washington Post</w:t>
      </w:r>
      <w:r>
        <w:rPr>
          <w:rFonts w:ascii="Times New Roman" w:hAnsi="Times New Roman" w:cs="Times New Roman"/>
        </w:rPr>
        <w:t xml:space="preserve">. Retrieved from </w:t>
      </w:r>
      <w:hyperlink r:id="rId7" w:history="1">
        <w:r w:rsidRPr="004C3F5E">
          <w:rPr>
            <w:rStyle w:val="Hyperlink"/>
            <w:rFonts w:ascii="Times New Roman" w:hAnsi="Times New Roman" w:cs="Times New Roman"/>
          </w:rPr>
          <w:t>https://www.washingtonpost.com/education/2018/10/15/harvard-admissions-goes-trial-university-faces-claim-bias-against-asian-americans/?utm_term=.81004f8b6909</w:t>
        </w:r>
      </w:hyperlink>
      <w:r>
        <w:rPr>
          <w:rFonts w:ascii="Times New Roman" w:hAnsi="Times New Roman" w:cs="Times New Roman"/>
        </w:rPr>
        <w:t xml:space="preserve">. </w:t>
      </w:r>
    </w:p>
    <w:p w14:paraId="34917BFA" w14:textId="77777777" w:rsidR="00CA2044" w:rsidRDefault="00CA2044" w:rsidP="004E1B30">
      <w:pPr>
        <w:rPr>
          <w:rFonts w:ascii="Times New Roman" w:hAnsi="Times New Roman" w:cs="Times New Roman"/>
        </w:rPr>
      </w:pPr>
      <w:r w:rsidRPr="00CA2044">
        <w:rPr>
          <w:rFonts w:ascii="Times New Roman" w:hAnsi="Times New Roman" w:cs="Times New Roman"/>
        </w:rPr>
        <w:t>Carteret</w:t>
      </w:r>
      <w:r>
        <w:rPr>
          <w:rFonts w:ascii="Times New Roman" w:hAnsi="Times New Roman" w:cs="Times New Roman"/>
        </w:rPr>
        <w:t xml:space="preserve">, M. (2010). </w:t>
      </w:r>
      <w:r w:rsidRPr="00CA2044">
        <w:rPr>
          <w:rFonts w:ascii="Times New Roman" w:hAnsi="Times New Roman" w:cs="Times New Roman"/>
          <w:i/>
        </w:rPr>
        <w:t>Cultural values of Asian patients and families</w:t>
      </w:r>
      <w:r>
        <w:rPr>
          <w:rFonts w:ascii="Times New Roman" w:hAnsi="Times New Roman" w:cs="Times New Roman"/>
        </w:rPr>
        <w:t xml:space="preserve">. Retrieved from </w:t>
      </w:r>
    </w:p>
    <w:p w14:paraId="60B8FCB5" w14:textId="4C4E08A6" w:rsidR="00CA2044" w:rsidRDefault="00CA2044" w:rsidP="00CA2044">
      <w:pPr>
        <w:ind w:left="720"/>
        <w:rPr>
          <w:rFonts w:ascii="Times New Roman" w:hAnsi="Times New Roman" w:cs="Times New Roman"/>
        </w:rPr>
      </w:pPr>
      <w:hyperlink r:id="rId8" w:history="1">
        <w:r w:rsidRPr="004C3F5E">
          <w:rPr>
            <w:rStyle w:val="Hyperlink"/>
            <w:rFonts w:ascii="Times New Roman" w:hAnsi="Times New Roman" w:cs="Times New Roman"/>
          </w:rPr>
          <w:t>https://www.dimensionsofculture.com/2010/10/cultural-values-of-asian-patients-and-families/</w:t>
        </w:r>
      </w:hyperlink>
      <w:r>
        <w:rPr>
          <w:rFonts w:ascii="Times New Roman" w:hAnsi="Times New Roman" w:cs="Times New Roman"/>
        </w:rPr>
        <w:t xml:space="preserve">. </w:t>
      </w:r>
    </w:p>
    <w:p w14:paraId="03E9A84F" w14:textId="77777777" w:rsidR="004E1B30" w:rsidRPr="004E1B30" w:rsidRDefault="004E1B30" w:rsidP="004E1B30">
      <w:pPr>
        <w:rPr>
          <w:rFonts w:ascii="Times New Roman" w:hAnsi="Times New Roman" w:cs="Times New Roman"/>
        </w:rPr>
      </w:pPr>
      <w:r w:rsidRPr="004E1B30">
        <w:rPr>
          <w:rFonts w:ascii="Times New Roman" w:hAnsi="Times New Roman" w:cs="Times New Roman"/>
        </w:rPr>
        <w:t xml:space="preserve">Kaplin, W.A., and Lee, B.A. (2014). </w:t>
      </w:r>
      <w:r w:rsidRPr="004E1B30">
        <w:rPr>
          <w:rFonts w:ascii="Times New Roman" w:hAnsi="Times New Roman" w:cs="Times New Roman"/>
          <w:i/>
        </w:rPr>
        <w:t>The law of higher education: Student version</w:t>
      </w:r>
      <w:r w:rsidRPr="004E1B30">
        <w:rPr>
          <w:rFonts w:ascii="Times New Roman" w:hAnsi="Times New Roman" w:cs="Times New Roman"/>
        </w:rPr>
        <w:t>, John Wiley</w:t>
      </w:r>
    </w:p>
    <w:p w14:paraId="35EA8D4E" w14:textId="41771C84" w:rsidR="004E1B30" w:rsidRPr="004E1B30" w:rsidRDefault="004E1B30" w:rsidP="004E1B30">
      <w:pPr>
        <w:ind w:firstLine="720"/>
        <w:rPr>
          <w:rFonts w:ascii="Times New Roman" w:hAnsi="Times New Roman" w:cs="Times New Roman"/>
        </w:rPr>
      </w:pPr>
      <w:r>
        <w:rPr>
          <w:rFonts w:ascii="Times New Roman" w:hAnsi="Times New Roman" w:cs="Times New Roman"/>
        </w:rPr>
        <w:t>&amp;</w:t>
      </w:r>
      <w:r w:rsidRPr="004E1B30">
        <w:rPr>
          <w:rFonts w:ascii="Times New Roman" w:hAnsi="Times New Roman" w:cs="Times New Roman"/>
        </w:rPr>
        <w:t xml:space="preserve"> Sons. </w:t>
      </w:r>
      <w:r w:rsidRPr="004E1B30">
        <w:rPr>
          <w:rFonts w:ascii="Times New Roman" w:hAnsi="Times New Roman" w:cs="Times New Roman"/>
        </w:rPr>
        <w:t>Retrieved</w:t>
      </w:r>
      <w:r w:rsidRPr="004E1B30">
        <w:rPr>
          <w:rFonts w:ascii="Times New Roman" w:hAnsi="Times New Roman" w:cs="Times New Roman"/>
        </w:rPr>
        <w:t xml:space="preserve"> from ProQuest Ebook Central,</w:t>
      </w:r>
    </w:p>
    <w:p w14:paraId="43E14D13" w14:textId="2FEC85FD" w:rsidR="004E1B30" w:rsidRDefault="004E1B30" w:rsidP="004E1B30">
      <w:pPr>
        <w:ind w:firstLine="720"/>
        <w:rPr>
          <w:rFonts w:ascii="Times New Roman" w:hAnsi="Times New Roman" w:cs="Times New Roman"/>
        </w:rPr>
      </w:pPr>
      <w:hyperlink r:id="rId9" w:history="1">
        <w:r w:rsidRPr="004C3F5E">
          <w:rPr>
            <w:rStyle w:val="Hyperlink"/>
            <w:rFonts w:ascii="Times New Roman" w:hAnsi="Times New Roman" w:cs="Times New Roman"/>
          </w:rPr>
          <w:t>http://ebookcentral.proquest.com/lib/northeastern-ebooks/detail.action?docID=1584782</w:t>
        </w:r>
      </w:hyperlink>
      <w:r w:rsidRPr="004E1B30">
        <w:rPr>
          <w:rFonts w:ascii="Times New Roman" w:hAnsi="Times New Roman" w:cs="Times New Roman"/>
        </w:rPr>
        <w:t>.</w:t>
      </w:r>
      <w:r>
        <w:rPr>
          <w:rFonts w:ascii="Times New Roman" w:hAnsi="Times New Roman" w:cs="Times New Roman"/>
        </w:rPr>
        <w:t xml:space="preserve"> </w:t>
      </w:r>
    </w:p>
    <w:p w14:paraId="249E9AA2" w14:textId="77777777" w:rsidR="00CA2044" w:rsidRPr="004E1B30" w:rsidRDefault="00CA2044" w:rsidP="00CA2044">
      <w:pPr>
        <w:rPr>
          <w:rFonts w:ascii="Times New Roman" w:hAnsi="Times New Roman" w:cs="Times New Roman"/>
          <w:i/>
        </w:rPr>
      </w:pPr>
      <w:r w:rsidRPr="004E1B30">
        <w:rPr>
          <w:rFonts w:ascii="Times New Roman" w:hAnsi="Times New Roman" w:cs="Times New Roman"/>
        </w:rPr>
        <w:t xml:space="preserve">Lake, P.F. (2011). </w:t>
      </w:r>
      <w:r w:rsidRPr="004E1B30">
        <w:rPr>
          <w:rFonts w:ascii="Times New Roman" w:hAnsi="Times New Roman" w:cs="Times New Roman"/>
          <w:i/>
        </w:rPr>
        <w:t>Foundations of higher education law &amp; policy: Basic legal rules, concepts,</w:t>
      </w:r>
    </w:p>
    <w:p w14:paraId="32C75898" w14:textId="36527C5B" w:rsidR="00CA2044" w:rsidRDefault="00CA2044" w:rsidP="00CA2044">
      <w:pPr>
        <w:ind w:firstLine="720"/>
        <w:rPr>
          <w:rFonts w:ascii="Times New Roman" w:hAnsi="Times New Roman" w:cs="Times New Roman"/>
        </w:rPr>
      </w:pPr>
      <w:r w:rsidRPr="004E1B30">
        <w:rPr>
          <w:rFonts w:ascii="Times New Roman" w:hAnsi="Times New Roman" w:cs="Times New Roman"/>
          <w:i/>
        </w:rPr>
        <w:t>and principles for student affairs</w:t>
      </w:r>
      <w:r w:rsidRPr="004E1B30">
        <w:rPr>
          <w:rFonts w:ascii="Times New Roman" w:hAnsi="Times New Roman" w:cs="Times New Roman"/>
        </w:rPr>
        <w:t>. Washington, D.C.: NASPA.</w:t>
      </w:r>
    </w:p>
    <w:p w14:paraId="66661519" w14:textId="77777777" w:rsidR="00DD337F" w:rsidRDefault="001B51D5" w:rsidP="001B51D5">
      <w:pPr>
        <w:rPr>
          <w:rFonts w:ascii="Times New Roman" w:hAnsi="Times New Roman" w:cs="Times New Roman"/>
        </w:rPr>
      </w:pPr>
      <w:r>
        <w:rPr>
          <w:rFonts w:ascii="Times New Roman" w:hAnsi="Times New Roman" w:cs="Times New Roman"/>
        </w:rPr>
        <w:t xml:space="preserve">McKinless, </w:t>
      </w:r>
      <w:r w:rsidR="001875BF">
        <w:rPr>
          <w:rFonts w:ascii="Times New Roman" w:hAnsi="Times New Roman" w:cs="Times New Roman"/>
        </w:rPr>
        <w:t xml:space="preserve">A. (2018, March 6). </w:t>
      </w:r>
      <w:r w:rsidR="001875BF" w:rsidRPr="001875BF">
        <w:rPr>
          <w:rFonts w:ascii="Times New Roman" w:hAnsi="Times New Roman" w:cs="Times New Roman"/>
        </w:rPr>
        <w:t xml:space="preserve">How one Catholic ministry is helping families deal with the </w:t>
      </w:r>
    </w:p>
    <w:p w14:paraId="65A3D750" w14:textId="75443BA4" w:rsidR="001B51D5" w:rsidRDefault="001875BF" w:rsidP="00DD337F">
      <w:pPr>
        <w:ind w:firstLine="720"/>
        <w:rPr>
          <w:rFonts w:ascii="Times New Roman" w:hAnsi="Times New Roman" w:cs="Times New Roman"/>
        </w:rPr>
      </w:pPr>
      <w:r w:rsidRPr="001875BF">
        <w:rPr>
          <w:rFonts w:ascii="Times New Roman" w:hAnsi="Times New Roman" w:cs="Times New Roman"/>
        </w:rPr>
        <w:t>devastating aftermath of suicide</w:t>
      </w:r>
      <w:r>
        <w:rPr>
          <w:rFonts w:ascii="Times New Roman" w:hAnsi="Times New Roman" w:cs="Times New Roman"/>
        </w:rPr>
        <w:t xml:space="preserve">. </w:t>
      </w:r>
      <w:r w:rsidRPr="001875BF">
        <w:rPr>
          <w:rFonts w:ascii="Times New Roman" w:hAnsi="Times New Roman" w:cs="Times New Roman"/>
          <w:i/>
        </w:rPr>
        <w:t>America: The Jesuit Review</w:t>
      </w:r>
      <w:r>
        <w:rPr>
          <w:rFonts w:ascii="Times New Roman" w:hAnsi="Times New Roman" w:cs="Times New Roman"/>
        </w:rPr>
        <w:t>, 218(6), 18-25.</w:t>
      </w:r>
    </w:p>
    <w:p w14:paraId="4BD2CA0A" w14:textId="77777777" w:rsidR="00593D81" w:rsidRDefault="00593D81" w:rsidP="00593D81">
      <w:pPr>
        <w:rPr>
          <w:rFonts w:ascii="Times New Roman" w:hAnsi="Times New Roman" w:cs="Times New Roman"/>
          <w:i/>
          <w:iCs/>
        </w:rPr>
      </w:pPr>
      <w:r w:rsidRPr="00593D81">
        <w:rPr>
          <w:rFonts w:ascii="Times New Roman" w:hAnsi="Times New Roman" w:cs="Times New Roman"/>
        </w:rPr>
        <w:t>Schudde, L. (2011). The Causal Effect of Campus Residency on College Student Retention. </w:t>
      </w:r>
      <w:r w:rsidRPr="00593D81">
        <w:rPr>
          <w:rFonts w:ascii="Times New Roman" w:hAnsi="Times New Roman" w:cs="Times New Roman"/>
          <w:i/>
          <w:iCs/>
        </w:rPr>
        <w:t xml:space="preserve">The </w:t>
      </w:r>
    </w:p>
    <w:p w14:paraId="2C371F5A" w14:textId="36C2BD0F" w:rsidR="00593D81" w:rsidRDefault="00593D81" w:rsidP="00593D81">
      <w:pPr>
        <w:ind w:firstLine="720"/>
        <w:rPr>
          <w:rFonts w:ascii="Times New Roman" w:hAnsi="Times New Roman" w:cs="Times New Roman"/>
        </w:rPr>
      </w:pPr>
      <w:r w:rsidRPr="00593D81">
        <w:rPr>
          <w:rFonts w:ascii="Times New Roman" w:hAnsi="Times New Roman" w:cs="Times New Roman"/>
          <w:i/>
          <w:iCs/>
        </w:rPr>
        <w:t>Review of Higher Education,</w:t>
      </w:r>
      <w:r w:rsidR="001875BF">
        <w:rPr>
          <w:rFonts w:ascii="Times New Roman" w:hAnsi="Times New Roman" w:cs="Times New Roman"/>
          <w:i/>
          <w:iCs/>
        </w:rPr>
        <w:t xml:space="preserve"> </w:t>
      </w:r>
      <w:r w:rsidRPr="001875BF">
        <w:rPr>
          <w:rFonts w:ascii="Times New Roman" w:hAnsi="Times New Roman" w:cs="Times New Roman"/>
          <w:iCs/>
        </w:rPr>
        <w:t>34</w:t>
      </w:r>
      <w:r w:rsidRPr="00593D81">
        <w:rPr>
          <w:rFonts w:ascii="Times New Roman" w:hAnsi="Times New Roman" w:cs="Times New Roman"/>
        </w:rPr>
        <w:t>(4), 581-610.</w:t>
      </w:r>
    </w:p>
    <w:p w14:paraId="70612454" w14:textId="77777777" w:rsidR="00CA2044" w:rsidRDefault="00CA2044" w:rsidP="00CA2044">
      <w:pPr>
        <w:rPr>
          <w:rFonts w:ascii="Times New Roman" w:hAnsi="Times New Roman" w:cs="Times New Roman"/>
        </w:rPr>
      </w:pPr>
      <w:r>
        <w:rPr>
          <w:rFonts w:ascii="Times New Roman" w:hAnsi="Times New Roman" w:cs="Times New Roman"/>
        </w:rPr>
        <w:t>Soodik, N. (2018, October 22). What's r</w:t>
      </w:r>
      <w:r w:rsidRPr="00CA2044">
        <w:rPr>
          <w:rFonts w:ascii="Times New Roman" w:hAnsi="Times New Roman" w:cs="Times New Roman"/>
        </w:rPr>
        <w:t>ea</w:t>
      </w:r>
      <w:r>
        <w:rPr>
          <w:rFonts w:ascii="Times New Roman" w:hAnsi="Times New Roman" w:cs="Times New Roman"/>
        </w:rPr>
        <w:t xml:space="preserve">lly at stake in the Harvard case. </w:t>
      </w:r>
      <w:r w:rsidRPr="00CA2044">
        <w:rPr>
          <w:rFonts w:ascii="Times New Roman" w:hAnsi="Times New Roman" w:cs="Times New Roman"/>
          <w:i/>
        </w:rPr>
        <w:t>Inside Higher Ed</w:t>
      </w:r>
      <w:r>
        <w:rPr>
          <w:rFonts w:ascii="Times New Roman" w:hAnsi="Times New Roman" w:cs="Times New Roman"/>
        </w:rPr>
        <w:t xml:space="preserve">. </w:t>
      </w:r>
    </w:p>
    <w:p w14:paraId="1BF67D47" w14:textId="59BB907E" w:rsidR="00CA2044" w:rsidRDefault="00CA2044" w:rsidP="00CA2044">
      <w:pPr>
        <w:ind w:left="720"/>
        <w:rPr>
          <w:rFonts w:ascii="Times New Roman" w:hAnsi="Times New Roman" w:cs="Times New Roman"/>
        </w:rPr>
      </w:pPr>
      <w:r>
        <w:rPr>
          <w:rFonts w:ascii="Times New Roman" w:hAnsi="Times New Roman" w:cs="Times New Roman"/>
        </w:rPr>
        <w:t xml:space="preserve">Retrieved from </w:t>
      </w:r>
      <w:hyperlink r:id="rId10" w:history="1">
        <w:r w:rsidRPr="004C3F5E">
          <w:rPr>
            <w:rStyle w:val="Hyperlink"/>
            <w:rFonts w:ascii="Times New Roman" w:hAnsi="Times New Roman" w:cs="Times New Roman"/>
          </w:rPr>
          <w:t>https://www.insidehighered.com/admissions/views/2018/10/22/educational-values-are-stake-harvard-admissions-case-opinion</w:t>
        </w:r>
      </w:hyperlink>
      <w:r>
        <w:rPr>
          <w:rFonts w:ascii="Times New Roman" w:hAnsi="Times New Roman" w:cs="Times New Roman"/>
        </w:rPr>
        <w:t xml:space="preserve">. </w:t>
      </w:r>
    </w:p>
    <w:p w14:paraId="0BAE11E6" w14:textId="77777777" w:rsidR="008D38C2" w:rsidRDefault="008D38C2" w:rsidP="00CA2044">
      <w:pPr>
        <w:ind w:left="720"/>
        <w:rPr>
          <w:rFonts w:ascii="Times New Roman" w:hAnsi="Times New Roman" w:cs="Times New Roman"/>
        </w:rPr>
      </w:pPr>
    </w:p>
    <w:p w14:paraId="2FF16DC3" w14:textId="77777777" w:rsidR="008D38C2" w:rsidRDefault="008D38C2" w:rsidP="00CA2044">
      <w:pPr>
        <w:ind w:left="720"/>
        <w:rPr>
          <w:rFonts w:ascii="Times New Roman" w:hAnsi="Times New Roman" w:cs="Times New Roman"/>
        </w:rPr>
      </w:pPr>
    </w:p>
    <w:p w14:paraId="5C0C9712" w14:textId="77777777" w:rsidR="008D38C2" w:rsidRDefault="008D38C2" w:rsidP="00CA2044">
      <w:pPr>
        <w:ind w:left="720"/>
        <w:rPr>
          <w:rFonts w:ascii="Times New Roman" w:hAnsi="Times New Roman" w:cs="Times New Roman"/>
        </w:rPr>
      </w:pPr>
    </w:p>
    <w:p w14:paraId="6A0C8772" w14:textId="77777777" w:rsidR="008D38C2" w:rsidRDefault="008D38C2" w:rsidP="00CA2044">
      <w:pPr>
        <w:ind w:left="720"/>
        <w:rPr>
          <w:rFonts w:ascii="Times New Roman" w:hAnsi="Times New Roman" w:cs="Times New Roman"/>
        </w:rPr>
      </w:pPr>
    </w:p>
    <w:p w14:paraId="7DB50E8E" w14:textId="77777777" w:rsidR="008D38C2" w:rsidRDefault="008D38C2" w:rsidP="00CA2044">
      <w:pPr>
        <w:ind w:left="720"/>
        <w:rPr>
          <w:rFonts w:ascii="Times New Roman" w:hAnsi="Times New Roman" w:cs="Times New Roman"/>
        </w:rPr>
      </w:pPr>
    </w:p>
    <w:p w14:paraId="25FC5E3D" w14:textId="77777777" w:rsidR="008D38C2" w:rsidRDefault="008D38C2" w:rsidP="00CA2044">
      <w:pPr>
        <w:ind w:left="720"/>
        <w:rPr>
          <w:rFonts w:ascii="Times New Roman" w:hAnsi="Times New Roman" w:cs="Times New Roman"/>
        </w:rPr>
      </w:pPr>
    </w:p>
    <w:p w14:paraId="5DB81F5A" w14:textId="77777777" w:rsidR="008D38C2" w:rsidRDefault="008D38C2" w:rsidP="00CA2044">
      <w:pPr>
        <w:ind w:left="720"/>
        <w:rPr>
          <w:rFonts w:ascii="Times New Roman" w:hAnsi="Times New Roman" w:cs="Times New Roman"/>
        </w:rPr>
      </w:pPr>
    </w:p>
    <w:p w14:paraId="7B97ADB0" w14:textId="77777777" w:rsidR="008D38C2" w:rsidRDefault="008D38C2" w:rsidP="00CA2044">
      <w:pPr>
        <w:ind w:left="720"/>
        <w:rPr>
          <w:rFonts w:ascii="Times New Roman" w:hAnsi="Times New Roman" w:cs="Times New Roman"/>
        </w:rPr>
      </w:pPr>
    </w:p>
    <w:p w14:paraId="04EF2BA8" w14:textId="77777777" w:rsidR="008D38C2" w:rsidRDefault="008D38C2" w:rsidP="00CA2044">
      <w:pPr>
        <w:ind w:left="720"/>
        <w:rPr>
          <w:rFonts w:ascii="Times New Roman" w:hAnsi="Times New Roman" w:cs="Times New Roman"/>
        </w:rPr>
      </w:pPr>
    </w:p>
    <w:p w14:paraId="666A831A" w14:textId="77777777" w:rsidR="008D38C2" w:rsidRDefault="008D38C2" w:rsidP="00CA2044">
      <w:pPr>
        <w:ind w:left="720"/>
        <w:rPr>
          <w:rFonts w:ascii="Times New Roman" w:hAnsi="Times New Roman" w:cs="Times New Roman"/>
        </w:rPr>
      </w:pPr>
    </w:p>
    <w:p w14:paraId="1F3469B1" w14:textId="77777777" w:rsidR="008D38C2" w:rsidRDefault="008D38C2" w:rsidP="00CA2044">
      <w:pPr>
        <w:ind w:left="720"/>
        <w:rPr>
          <w:rFonts w:ascii="Times New Roman" w:hAnsi="Times New Roman" w:cs="Times New Roman"/>
        </w:rPr>
      </w:pPr>
    </w:p>
    <w:p w14:paraId="38C77EB2" w14:textId="77777777" w:rsidR="008D38C2" w:rsidRDefault="008D38C2" w:rsidP="00CA2044">
      <w:pPr>
        <w:ind w:left="720"/>
        <w:rPr>
          <w:rFonts w:ascii="Times New Roman" w:hAnsi="Times New Roman" w:cs="Times New Roman"/>
        </w:rPr>
      </w:pPr>
    </w:p>
    <w:p w14:paraId="585452DF" w14:textId="77777777" w:rsidR="008D38C2" w:rsidRDefault="008D38C2" w:rsidP="00CA2044">
      <w:pPr>
        <w:ind w:left="720"/>
        <w:rPr>
          <w:rFonts w:ascii="Times New Roman" w:hAnsi="Times New Roman" w:cs="Times New Roman"/>
        </w:rPr>
      </w:pPr>
    </w:p>
    <w:p w14:paraId="35FC178B" w14:textId="77777777" w:rsidR="008D38C2" w:rsidRDefault="008D38C2" w:rsidP="00CA2044">
      <w:pPr>
        <w:ind w:left="720"/>
        <w:rPr>
          <w:rFonts w:ascii="Times New Roman" w:hAnsi="Times New Roman" w:cs="Times New Roman"/>
        </w:rPr>
      </w:pPr>
    </w:p>
    <w:p w14:paraId="232003DE" w14:textId="77777777" w:rsidR="008D38C2" w:rsidRDefault="008D38C2" w:rsidP="00CA2044">
      <w:pPr>
        <w:ind w:left="720"/>
        <w:rPr>
          <w:rFonts w:ascii="Times New Roman" w:hAnsi="Times New Roman" w:cs="Times New Roman"/>
        </w:rPr>
      </w:pPr>
    </w:p>
    <w:p w14:paraId="1E41235B" w14:textId="77777777" w:rsidR="008D38C2" w:rsidRDefault="008D38C2" w:rsidP="00CA2044">
      <w:pPr>
        <w:ind w:left="720"/>
        <w:rPr>
          <w:rFonts w:ascii="Times New Roman" w:hAnsi="Times New Roman" w:cs="Times New Roman"/>
        </w:rPr>
      </w:pPr>
    </w:p>
    <w:p w14:paraId="43F62D61" w14:textId="77777777" w:rsidR="008D38C2" w:rsidRDefault="008D38C2" w:rsidP="00CA2044">
      <w:pPr>
        <w:ind w:left="720"/>
        <w:rPr>
          <w:rFonts w:ascii="Times New Roman" w:hAnsi="Times New Roman" w:cs="Times New Roman"/>
        </w:rPr>
      </w:pPr>
    </w:p>
    <w:p w14:paraId="5637BB7A" w14:textId="77777777" w:rsidR="008D38C2" w:rsidRDefault="008D38C2" w:rsidP="00CA2044">
      <w:pPr>
        <w:ind w:left="720"/>
        <w:rPr>
          <w:rFonts w:ascii="Times New Roman" w:hAnsi="Times New Roman" w:cs="Times New Roman"/>
        </w:rPr>
      </w:pPr>
    </w:p>
    <w:p w14:paraId="33201DF9" w14:textId="77777777" w:rsidR="008D38C2" w:rsidRDefault="008D38C2" w:rsidP="00CA2044">
      <w:pPr>
        <w:ind w:left="720"/>
        <w:rPr>
          <w:rFonts w:ascii="Times New Roman" w:hAnsi="Times New Roman" w:cs="Times New Roman"/>
        </w:rPr>
      </w:pPr>
    </w:p>
    <w:p w14:paraId="722AAD73" w14:textId="77777777" w:rsidR="008D38C2" w:rsidRDefault="008D38C2" w:rsidP="00CA2044">
      <w:pPr>
        <w:ind w:left="720"/>
        <w:rPr>
          <w:rFonts w:ascii="Times New Roman" w:hAnsi="Times New Roman" w:cs="Times New Roman"/>
        </w:rPr>
      </w:pPr>
    </w:p>
    <w:p w14:paraId="6A4D065E" w14:textId="77777777" w:rsidR="008D38C2" w:rsidRDefault="008D38C2" w:rsidP="00CA2044">
      <w:pPr>
        <w:ind w:left="720"/>
        <w:rPr>
          <w:rFonts w:ascii="Times New Roman" w:hAnsi="Times New Roman" w:cs="Times New Roman"/>
        </w:rPr>
      </w:pPr>
    </w:p>
    <w:p w14:paraId="27FA2C13" w14:textId="77777777" w:rsidR="008D38C2" w:rsidRDefault="008D38C2" w:rsidP="00CA2044">
      <w:pPr>
        <w:ind w:left="720"/>
        <w:rPr>
          <w:rFonts w:ascii="Times New Roman" w:hAnsi="Times New Roman" w:cs="Times New Roman"/>
        </w:rPr>
      </w:pPr>
    </w:p>
    <w:p w14:paraId="4379AC45" w14:textId="77777777" w:rsidR="008D38C2" w:rsidRDefault="008D38C2" w:rsidP="00CA2044">
      <w:pPr>
        <w:ind w:left="720"/>
        <w:rPr>
          <w:rFonts w:ascii="Times New Roman" w:hAnsi="Times New Roman" w:cs="Times New Roman"/>
        </w:rPr>
      </w:pPr>
    </w:p>
    <w:p w14:paraId="2DD2A4F7" w14:textId="77777777" w:rsidR="008D38C2" w:rsidRDefault="008D38C2" w:rsidP="00CA2044">
      <w:pPr>
        <w:ind w:left="720"/>
        <w:rPr>
          <w:rFonts w:ascii="Times New Roman" w:hAnsi="Times New Roman" w:cs="Times New Roman"/>
        </w:rPr>
      </w:pPr>
    </w:p>
    <w:p w14:paraId="050F5FAA" w14:textId="77777777" w:rsidR="008D38C2" w:rsidRDefault="008D38C2" w:rsidP="00CA2044">
      <w:pPr>
        <w:ind w:left="720"/>
        <w:rPr>
          <w:rFonts w:ascii="Times New Roman" w:hAnsi="Times New Roman" w:cs="Times New Roman"/>
        </w:rPr>
      </w:pPr>
    </w:p>
    <w:p w14:paraId="1D4F5E86" w14:textId="565C8950" w:rsidR="008D38C2" w:rsidRPr="008D38C2" w:rsidRDefault="008D38C2" w:rsidP="008D38C2">
      <w:pPr>
        <w:ind w:left="720"/>
        <w:jc w:val="center"/>
        <w:rPr>
          <w:rFonts w:ascii="Times New Roman" w:hAnsi="Times New Roman" w:cs="Times New Roman"/>
          <w:b/>
        </w:rPr>
      </w:pPr>
      <w:r w:rsidRPr="008D38C2">
        <w:rPr>
          <w:rFonts w:ascii="Times New Roman" w:hAnsi="Times New Roman" w:cs="Times New Roman"/>
          <w:b/>
        </w:rPr>
        <w:t>Appendix A: Political Activity Policy and Guida</w:t>
      </w:r>
      <w:r>
        <w:rPr>
          <w:rFonts w:ascii="Times New Roman" w:hAnsi="Times New Roman" w:cs="Times New Roman"/>
          <w:b/>
        </w:rPr>
        <w:t xml:space="preserve">nce Memorandum to ULPSP Faculty </w:t>
      </w:r>
      <w:r w:rsidRPr="008D38C2">
        <w:rPr>
          <w:rFonts w:ascii="Times New Roman" w:hAnsi="Times New Roman" w:cs="Times New Roman"/>
          <w:b/>
        </w:rPr>
        <w:t>and Staff, April 2010</w:t>
      </w:r>
      <w:bookmarkStart w:id="0" w:name="_GoBack"/>
      <w:bookmarkEnd w:id="0"/>
    </w:p>
    <w:p w14:paraId="24A2FB39" w14:textId="77777777" w:rsidR="008D38C2" w:rsidRDefault="008D38C2" w:rsidP="008D38C2">
      <w:pPr>
        <w:ind w:left="-540"/>
        <w:rPr>
          <w:rFonts w:ascii="Arial" w:hAnsi="Arial" w:cs="Arial"/>
        </w:rPr>
      </w:pPr>
    </w:p>
    <w:p w14:paraId="5F4BA2FD" w14:textId="77777777" w:rsidR="008D38C2" w:rsidRPr="00F4590F" w:rsidRDefault="008D38C2" w:rsidP="008D38C2">
      <w:pPr>
        <w:ind w:left="-540"/>
        <w:rPr>
          <w:rFonts w:ascii="Arial" w:hAnsi="Arial" w:cs="Arial"/>
        </w:rPr>
      </w:pPr>
      <w:r w:rsidRPr="00F4590F">
        <w:rPr>
          <w:rFonts w:ascii="Arial" w:hAnsi="Arial" w:cs="Arial"/>
        </w:rPr>
        <w:t>With the election approaching, it is important to understand what we, as public employees, may or may not do in support of political candidates or ballot questions.  Massachusetts General Law Chapter 55 generally covers campaign finance, but also includes sections covering the rights and limitations of public employees and the use of public buildings.</w:t>
      </w:r>
    </w:p>
    <w:p w14:paraId="73B8B3B3" w14:textId="77777777" w:rsidR="008D38C2" w:rsidRPr="00F4590F" w:rsidRDefault="008D38C2" w:rsidP="008D38C2">
      <w:pPr>
        <w:ind w:left="-540"/>
        <w:rPr>
          <w:rFonts w:ascii="Arial" w:hAnsi="Arial" w:cs="Arial"/>
        </w:rPr>
      </w:pPr>
    </w:p>
    <w:p w14:paraId="0FD2DA88" w14:textId="77777777" w:rsidR="008D38C2" w:rsidRPr="00F4590F" w:rsidRDefault="008D38C2" w:rsidP="008D38C2">
      <w:pPr>
        <w:ind w:left="-540"/>
        <w:rPr>
          <w:rFonts w:ascii="Arial" w:hAnsi="Arial" w:cs="Arial"/>
        </w:rPr>
      </w:pPr>
      <w:r w:rsidRPr="00F4590F">
        <w:rPr>
          <w:rFonts w:ascii="Arial" w:hAnsi="Arial" w:cs="Arial"/>
        </w:rPr>
        <w:t xml:space="preserve">Public employees </w:t>
      </w:r>
      <w:r>
        <w:rPr>
          <w:rFonts w:ascii="Arial" w:hAnsi="Arial" w:cs="Arial"/>
        </w:rPr>
        <w:t xml:space="preserve">(other than elected officials) </w:t>
      </w:r>
      <w:r w:rsidRPr="00F4590F">
        <w:rPr>
          <w:rFonts w:ascii="Arial" w:hAnsi="Arial" w:cs="Arial"/>
          <w:u w:val="single"/>
        </w:rPr>
        <w:t>may not</w:t>
      </w:r>
      <w:r w:rsidRPr="00F4590F">
        <w:rPr>
          <w:rFonts w:ascii="Arial" w:hAnsi="Arial" w:cs="Arial"/>
        </w:rPr>
        <w:t>:</w:t>
      </w:r>
    </w:p>
    <w:p w14:paraId="27165AAA" w14:textId="77777777" w:rsidR="008D38C2" w:rsidRPr="00F4590F" w:rsidRDefault="008D38C2" w:rsidP="008D38C2">
      <w:pPr>
        <w:ind w:left="-540"/>
        <w:rPr>
          <w:rFonts w:ascii="Arial" w:hAnsi="Arial" w:cs="Arial"/>
        </w:rPr>
      </w:pPr>
    </w:p>
    <w:p w14:paraId="1FA0FBA2"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Sell or distribute tickets for a fundraising event to benefit any political candidate or political committee or solicit attendance at such an event;</w:t>
      </w:r>
      <w:r w:rsidRPr="00F4590F">
        <w:t xml:space="preserve"> </w:t>
      </w:r>
    </w:p>
    <w:p w14:paraId="7DE24173"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Otherwise ask for contributions to support any candidate or political committee (federal, state, county or local) or a ballot question;</w:t>
      </w:r>
      <w:r w:rsidRPr="00F4590F">
        <w:t xml:space="preserve"> </w:t>
      </w:r>
    </w:p>
    <w:p w14:paraId="6BF5E38B"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Host a political fundraising event;</w:t>
      </w:r>
      <w:r w:rsidRPr="00F4590F">
        <w:t xml:space="preserve"> </w:t>
      </w:r>
    </w:p>
    <w:p w14:paraId="5327349F"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Accept donations or payment for admission at a political fundraising event or accepting money at the door of a political fundraising event;</w:t>
      </w:r>
      <w:r w:rsidRPr="00F4590F">
        <w:t xml:space="preserve"> </w:t>
      </w:r>
    </w:p>
    <w:p w14:paraId="221A8B9C"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Sign a fundraising letter or advertisement on behalf of a candidate or political committee;</w:t>
      </w:r>
      <w:r w:rsidRPr="00F4590F">
        <w:t xml:space="preserve"> </w:t>
      </w:r>
    </w:p>
    <w:p w14:paraId="6F6A9CF6"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Permit his/her name to be listed on campaign stationery as an officer, member or supporter, if the stationery is used to solicit funds for a political purpose;</w:t>
      </w:r>
      <w:r w:rsidRPr="00F4590F">
        <w:t xml:space="preserve"> </w:t>
      </w:r>
    </w:p>
    <w:p w14:paraId="68147988" w14:textId="77777777" w:rsidR="008D38C2" w:rsidRPr="00F4590F" w:rsidRDefault="008D38C2" w:rsidP="008D38C2">
      <w:pPr>
        <w:numPr>
          <w:ilvl w:val="0"/>
          <w:numId w:val="5"/>
        </w:numPr>
        <w:tabs>
          <w:tab w:val="clear" w:pos="720"/>
          <w:tab w:val="num" w:pos="0"/>
        </w:tabs>
        <w:spacing w:after="120"/>
        <w:ind w:left="0"/>
        <w:rPr>
          <w:rFonts w:ascii="Arial" w:hAnsi="Arial" w:cs="Arial"/>
        </w:rPr>
      </w:pPr>
      <w:r w:rsidRPr="00F4590F">
        <w:rPr>
          <w:rFonts w:ascii="Arial" w:hAnsi="Arial" w:cs="Arial"/>
        </w:rPr>
        <w:t>Provide persons raising money for a candidate or committee with the names of individuals who would then be solicited;</w:t>
      </w:r>
      <w:r w:rsidRPr="00F4590F">
        <w:t xml:space="preserve"> </w:t>
      </w:r>
    </w:p>
    <w:p w14:paraId="74875375" w14:textId="77777777" w:rsidR="008D38C2" w:rsidRPr="00F4590F" w:rsidRDefault="008D38C2" w:rsidP="008D38C2">
      <w:pPr>
        <w:numPr>
          <w:ilvl w:val="0"/>
          <w:numId w:val="5"/>
        </w:numPr>
        <w:tabs>
          <w:tab w:val="clear" w:pos="720"/>
          <w:tab w:val="num" w:pos="0"/>
        </w:tabs>
        <w:ind w:left="0"/>
        <w:rPr>
          <w:rFonts w:ascii="Arial" w:hAnsi="Arial" w:cs="Arial"/>
        </w:rPr>
      </w:pPr>
      <w:r w:rsidRPr="00F4590F">
        <w:rPr>
          <w:rFonts w:ascii="Arial" w:hAnsi="Arial" w:cs="Arial"/>
        </w:rPr>
        <w:t>Providing general or specific advice to a political campaign with regard to fundraising strategies</w:t>
      </w:r>
      <w:r w:rsidRPr="00F4590F">
        <w:t xml:space="preserve"> </w:t>
      </w:r>
    </w:p>
    <w:p w14:paraId="0699B5C7" w14:textId="77777777" w:rsidR="008D38C2" w:rsidRPr="00F4590F" w:rsidRDefault="008D38C2" w:rsidP="008D38C2">
      <w:pPr>
        <w:ind w:left="-540"/>
        <w:rPr>
          <w:rFonts w:ascii="Arial" w:hAnsi="Arial" w:cs="Arial"/>
        </w:rPr>
      </w:pPr>
    </w:p>
    <w:p w14:paraId="51DF59F3" w14:textId="77777777" w:rsidR="008D38C2" w:rsidRPr="00F4590F" w:rsidRDefault="008D38C2" w:rsidP="008D38C2">
      <w:pPr>
        <w:ind w:left="-540"/>
        <w:rPr>
          <w:rFonts w:ascii="Arial" w:hAnsi="Arial" w:cs="Arial"/>
        </w:rPr>
      </w:pPr>
      <w:r w:rsidRPr="00F4590F">
        <w:rPr>
          <w:rFonts w:ascii="Arial" w:hAnsi="Arial" w:cs="Arial"/>
        </w:rPr>
        <w:t xml:space="preserve">However, a public employee </w:t>
      </w:r>
      <w:r w:rsidRPr="00F4590F">
        <w:rPr>
          <w:rFonts w:ascii="Arial" w:hAnsi="Arial" w:cs="Arial"/>
          <w:u w:val="single"/>
        </w:rPr>
        <w:t>may</w:t>
      </w:r>
      <w:r w:rsidRPr="00F4590F">
        <w:rPr>
          <w:rFonts w:ascii="Arial" w:hAnsi="Arial" w:cs="Arial"/>
        </w:rPr>
        <w:t>:</w:t>
      </w:r>
    </w:p>
    <w:p w14:paraId="008AA423" w14:textId="77777777" w:rsidR="008D38C2" w:rsidRPr="00F4590F" w:rsidRDefault="008D38C2" w:rsidP="008D38C2">
      <w:pPr>
        <w:ind w:left="-540"/>
        <w:rPr>
          <w:rFonts w:ascii="Arial" w:hAnsi="Arial" w:cs="Arial"/>
        </w:rPr>
      </w:pPr>
    </w:p>
    <w:p w14:paraId="61C7728F" w14:textId="77777777" w:rsidR="008D38C2" w:rsidRPr="00F4590F" w:rsidRDefault="008D38C2" w:rsidP="008D38C2">
      <w:pPr>
        <w:numPr>
          <w:ilvl w:val="0"/>
          <w:numId w:val="6"/>
        </w:numPr>
        <w:tabs>
          <w:tab w:val="clear" w:pos="720"/>
          <w:tab w:val="num" w:pos="0"/>
        </w:tabs>
        <w:spacing w:after="120"/>
        <w:ind w:left="0"/>
        <w:rPr>
          <w:rFonts w:ascii="Arial" w:hAnsi="Arial" w:cs="Arial"/>
        </w:rPr>
      </w:pPr>
      <w:r w:rsidRPr="00F4590F">
        <w:rPr>
          <w:rFonts w:ascii="Arial" w:hAnsi="Arial" w:cs="Arial"/>
        </w:rPr>
        <w:t>Make a contribution to a candidate or political committee or attend a political fundraiser;</w:t>
      </w:r>
      <w:r w:rsidRPr="00F4590F">
        <w:t xml:space="preserve"> </w:t>
      </w:r>
    </w:p>
    <w:p w14:paraId="514F724C" w14:textId="75A06080" w:rsidR="008D38C2" w:rsidRPr="008D38C2" w:rsidRDefault="008D38C2" w:rsidP="008D38C2">
      <w:pPr>
        <w:numPr>
          <w:ilvl w:val="0"/>
          <w:numId w:val="6"/>
        </w:numPr>
        <w:tabs>
          <w:tab w:val="clear" w:pos="720"/>
          <w:tab w:val="num" w:pos="0"/>
        </w:tabs>
        <w:spacing w:after="120"/>
        <w:ind w:left="0"/>
        <w:rPr>
          <w:rFonts w:ascii="Arial" w:hAnsi="Arial" w:cs="Arial"/>
        </w:rPr>
      </w:pPr>
      <w:r w:rsidRPr="00F4590F">
        <w:rPr>
          <w:rFonts w:ascii="Arial" w:hAnsi="Arial" w:cs="Arial"/>
        </w:rPr>
        <w:t>Serve as a member of a political committee or hold a committee position (other than treasurer or any other position that involves fundraising);</w:t>
      </w:r>
      <w:r w:rsidRPr="00F4590F">
        <w:t xml:space="preserve"> </w:t>
      </w:r>
    </w:p>
    <w:p w14:paraId="6FE0A1E7" w14:textId="77777777" w:rsidR="008D38C2" w:rsidRPr="00F4590F" w:rsidRDefault="008D38C2" w:rsidP="008D38C2">
      <w:pPr>
        <w:numPr>
          <w:ilvl w:val="0"/>
          <w:numId w:val="6"/>
        </w:numPr>
        <w:tabs>
          <w:tab w:val="clear" w:pos="720"/>
          <w:tab w:val="num" w:pos="0"/>
        </w:tabs>
        <w:spacing w:after="120"/>
        <w:ind w:left="0"/>
        <w:rPr>
          <w:rFonts w:ascii="Arial" w:hAnsi="Arial" w:cs="Arial"/>
        </w:rPr>
      </w:pPr>
      <w:r w:rsidRPr="00F4590F">
        <w:rPr>
          <w:rFonts w:ascii="Arial" w:hAnsi="Arial" w:cs="Arial"/>
        </w:rPr>
        <w:t>Perform any service for a campaign that does not involve fundraising, such as holding signs, stuffing envelopes, signing endorsement letters (as long as those letters do not also ask for money) or working at political fundraisers in a non-fundraising capacity, such as setting up tables or preparing food (not collecting money at the door).</w:t>
      </w:r>
      <w:r w:rsidRPr="00F4590F">
        <w:t xml:space="preserve"> </w:t>
      </w:r>
    </w:p>
    <w:p w14:paraId="17B00206" w14:textId="77777777" w:rsidR="008D38C2" w:rsidRPr="00F4590F" w:rsidRDefault="008D38C2" w:rsidP="008D38C2">
      <w:pPr>
        <w:numPr>
          <w:ilvl w:val="0"/>
          <w:numId w:val="6"/>
        </w:numPr>
        <w:tabs>
          <w:tab w:val="clear" w:pos="720"/>
          <w:tab w:val="num" w:pos="0"/>
        </w:tabs>
        <w:spacing w:after="120"/>
        <w:ind w:left="0"/>
        <w:rPr>
          <w:rFonts w:ascii="Arial" w:hAnsi="Arial" w:cs="Arial"/>
        </w:rPr>
      </w:pPr>
      <w:r w:rsidRPr="00F4590F">
        <w:rPr>
          <w:rFonts w:ascii="Arial" w:hAnsi="Arial" w:cs="Arial"/>
        </w:rPr>
        <w:t>Meet with anyone, including other public employees, for political purposes, as long as no fundraising activity takes place;</w:t>
      </w:r>
      <w:r w:rsidRPr="00F4590F">
        <w:t xml:space="preserve"> </w:t>
      </w:r>
    </w:p>
    <w:p w14:paraId="564A5142" w14:textId="77777777" w:rsidR="008D38C2" w:rsidRPr="00F4590F" w:rsidRDefault="008D38C2" w:rsidP="008D38C2">
      <w:pPr>
        <w:numPr>
          <w:ilvl w:val="0"/>
          <w:numId w:val="6"/>
        </w:numPr>
        <w:tabs>
          <w:tab w:val="clear" w:pos="720"/>
          <w:tab w:val="num" w:pos="0"/>
        </w:tabs>
        <w:ind w:left="0"/>
        <w:rPr>
          <w:rFonts w:ascii="Arial" w:hAnsi="Arial" w:cs="Arial"/>
        </w:rPr>
      </w:pPr>
      <w:r w:rsidRPr="00F4590F">
        <w:rPr>
          <w:rFonts w:ascii="Arial" w:hAnsi="Arial" w:cs="Arial"/>
        </w:rPr>
        <w:t>Raising money for humanitarian, charitable or educational causes or other issues not related to elections.</w:t>
      </w:r>
      <w:r w:rsidRPr="00F4590F">
        <w:t xml:space="preserve"> </w:t>
      </w:r>
    </w:p>
    <w:p w14:paraId="7C1C29D7" w14:textId="77777777" w:rsidR="008D38C2" w:rsidRPr="00F4590F" w:rsidRDefault="008D38C2" w:rsidP="008D38C2">
      <w:pPr>
        <w:ind w:left="-540"/>
        <w:rPr>
          <w:rFonts w:ascii="Arial" w:hAnsi="Arial" w:cs="Arial"/>
        </w:rPr>
      </w:pPr>
    </w:p>
    <w:p w14:paraId="5F7E0747" w14:textId="77777777" w:rsidR="008D38C2" w:rsidRPr="00F4590F" w:rsidRDefault="008D38C2" w:rsidP="008D38C2">
      <w:pPr>
        <w:ind w:left="-540"/>
        <w:rPr>
          <w:rFonts w:ascii="Arial" w:hAnsi="Arial" w:cs="Arial"/>
        </w:rPr>
      </w:pPr>
      <w:r w:rsidRPr="00F4590F">
        <w:rPr>
          <w:rFonts w:ascii="Arial" w:hAnsi="Arial" w:cs="Arial"/>
        </w:rPr>
        <w:t>The use of public buildings is more restrictive:  No one may use a public building:</w:t>
      </w:r>
    </w:p>
    <w:p w14:paraId="00EA1779" w14:textId="77777777" w:rsidR="008D38C2" w:rsidRPr="00F4590F" w:rsidRDefault="008D38C2" w:rsidP="008D38C2">
      <w:pPr>
        <w:ind w:left="-540"/>
        <w:rPr>
          <w:rFonts w:ascii="Arial" w:hAnsi="Arial" w:cs="Arial"/>
        </w:rPr>
      </w:pPr>
    </w:p>
    <w:p w14:paraId="2F9326EB" w14:textId="77777777" w:rsidR="008D38C2" w:rsidRPr="00F4590F" w:rsidRDefault="008D38C2" w:rsidP="008D38C2">
      <w:pPr>
        <w:numPr>
          <w:ilvl w:val="0"/>
          <w:numId w:val="7"/>
        </w:numPr>
        <w:tabs>
          <w:tab w:val="clear" w:pos="720"/>
          <w:tab w:val="num" w:pos="0"/>
        </w:tabs>
        <w:spacing w:after="120"/>
        <w:ind w:left="0"/>
        <w:rPr>
          <w:rFonts w:ascii="Arial" w:hAnsi="Arial" w:cs="Arial"/>
        </w:rPr>
      </w:pPr>
      <w:r w:rsidRPr="00F4590F">
        <w:rPr>
          <w:rFonts w:ascii="Arial" w:hAnsi="Arial" w:cs="Arial"/>
        </w:rPr>
        <w:t xml:space="preserve">to ask for or receive contributions to </w:t>
      </w:r>
      <w:r w:rsidRPr="00F4590F">
        <w:rPr>
          <w:rFonts w:ascii="Arial" w:hAnsi="Arial" w:cs="Arial"/>
          <w:i/>
          <w:iCs/>
        </w:rPr>
        <w:t xml:space="preserve">any </w:t>
      </w:r>
      <w:r w:rsidRPr="00F4590F">
        <w:rPr>
          <w:rFonts w:ascii="Arial" w:hAnsi="Arial" w:cs="Arial"/>
        </w:rPr>
        <w:t>political committee or candidate;</w:t>
      </w:r>
      <w:r w:rsidRPr="00F4590F">
        <w:t xml:space="preserve"> </w:t>
      </w:r>
    </w:p>
    <w:p w14:paraId="3B48D46C" w14:textId="77777777" w:rsidR="008D38C2" w:rsidRPr="00F4590F" w:rsidRDefault="008D38C2" w:rsidP="008D38C2">
      <w:pPr>
        <w:numPr>
          <w:ilvl w:val="0"/>
          <w:numId w:val="7"/>
        </w:numPr>
        <w:tabs>
          <w:tab w:val="clear" w:pos="720"/>
          <w:tab w:val="num" w:pos="0"/>
        </w:tabs>
        <w:spacing w:after="120"/>
        <w:ind w:left="0"/>
        <w:rPr>
          <w:rFonts w:ascii="Arial" w:hAnsi="Arial" w:cs="Arial"/>
        </w:rPr>
      </w:pPr>
      <w:r w:rsidRPr="00F4590F">
        <w:rPr>
          <w:rFonts w:ascii="Arial" w:hAnsi="Arial" w:cs="Arial"/>
        </w:rPr>
        <w:t>as a return address for contributions or use a phone number in the building as a contact for buying tickets to a fundraiser;</w:t>
      </w:r>
      <w:r w:rsidRPr="00F4590F">
        <w:t xml:space="preserve"> </w:t>
      </w:r>
    </w:p>
    <w:p w14:paraId="740A0A69" w14:textId="77777777" w:rsidR="008D38C2" w:rsidRPr="00F4590F" w:rsidRDefault="008D38C2" w:rsidP="008D38C2">
      <w:pPr>
        <w:numPr>
          <w:ilvl w:val="0"/>
          <w:numId w:val="7"/>
        </w:numPr>
        <w:tabs>
          <w:tab w:val="clear" w:pos="720"/>
          <w:tab w:val="num" w:pos="0"/>
        </w:tabs>
        <w:ind w:left="0"/>
        <w:rPr>
          <w:rFonts w:ascii="Arial" w:hAnsi="Arial" w:cs="Arial"/>
        </w:rPr>
      </w:pPr>
      <w:r w:rsidRPr="00F4590F">
        <w:rPr>
          <w:rFonts w:ascii="Arial" w:hAnsi="Arial" w:cs="Arial"/>
        </w:rPr>
        <w:t>to post an advertisement or a circular selling tickets to a fundraiser or otherwise seeking contributions</w:t>
      </w:r>
      <w:r w:rsidRPr="00F4590F">
        <w:t xml:space="preserve"> </w:t>
      </w:r>
    </w:p>
    <w:p w14:paraId="403E5821" w14:textId="77777777" w:rsidR="008D38C2" w:rsidRPr="00F4590F" w:rsidRDefault="008D38C2" w:rsidP="008D38C2">
      <w:pPr>
        <w:ind w:left="-540"/>
        <w:rPr>
          <w:rFonts w:ascii="Arial" w:hAnsi="Arial" w:cs="Arial"/>
        </w:rPr>
      </w:pPr>
    </w:p>
    <w:p w14:paraId="32C7B8BD" w14:textId="77777777" w:rsidR="008D38C2" w:rsidRPr="00F4590F" w:rsidRDefault="008D38C2" w:rsidP="008D38C2">
      <w:pPr>
        <w:ind w:left="-540"/>
        <w:rPr>
          <w:rFonts w:ascii="Arial" w:hAnsi="Arial" w:cs="Arial"/>
        </w:rPr>
      </w:pPr>
      <w:r w:rsidRPr="00F4590F">
        <w:rPr>
          <w:rFonts w:ascii="Arial" w:hAnsi="Arial" w:cs="Arial"/>
        </w:rPr>
        <w:t>Finally, no public resources (including paid time, telephones, computers, copiers, and/or office supplies) may be use for political campaign purposes.</w:t>
      </w:r>
    </w:p>
    <w:p w14:paraId="330700D4" w14:textId="77777777" w:rsidR="008D38C2" w:rsidRPr="00F4590F" w:rsidRDefault="008D38C2" w:rsidP="008D38C2">
      <w:pPr>
        <w:ind w:left="-540"/>
        <w:rPr>
          <w:rFonts w:ascii="Arial" w:hAnsi="Arial" w:cs="Arial"/>
        </w:rPr>
      </w:pPr>
    </w:p>
    <w:p w14:paraId="2EB79A83" w14:textId="77777777" w:rsidR="008D38C2" w:rsidRDefault="008D38C2" w:rsidP="008D38C2">
      <w:pPr>
        <w:ind w:left="-540"/>
        <w:rPr>
          <w:rFonts w:ascii="Arial" w:hAnsi="Arial" w:cs="Arial"/>
        </w:rPr>
      </w:pPr>
      <w:r w:rsidRPr="00F4590F">
        <w:rPr>
          <w:rFonts w:ascii="Arial" w:hAnsi="Arial" w:cs="Arial"/>
        </w:rPr>
        <w:t xml:space="preserve">A complete guide to campaign finance is available on the Office of Campaign &amp; Political Finance’s website at </w:t>
      </w:r>
      <w:hyperlink r:id="rId11" w:history="1">
        <w:r w:rsidRPr="00DE228D">
          <w:rPr>
            <w:rStyle w:val="Hyperlink"/>
            <w:rFonts w:ascii="Arial" w:hAnsi="Arial" w:cs="Arial"/>
          </w:rPr>
          <w:t>https://www.mass.gov/advisory/11-1-public-employee-political-activity</w:t>
        </w:r>
      </w:hyperlink>
      <w:r>
        <w:rPr>
          <w:rFonts w:ascii="Arial" w:hAnsi="Arial" w:cs="Arial"/>
        </w:rPr>
        <w:t>.</w:t>
      </w:r>
    </w:p>
    <w:p w14:paraId="54AF50BB" w14:textId="77777777" w:rsidR="008D38C2" w:rsidRPr="00F4590F" w:rsidRDefault="008D38C2" w:rsidP="008D38C2">
      <w:pPr>
        <w:ind w:left="-540"/>
        <w:rPr>
          <w:rFonts w:ascii="Arial" w:hAnsi="Arial" w:cs="Arial"/>
        </w:rPr>
      </w:pPr>
      <w:r w:rsidRPr="00F4590F">
        <w:rPr>
          <w:rFonts w:ascii="Arial" w:hAnsi="Arial" w:cs="Arial"/>
        </w:rPr>
        <w:t>Specific questions can be directed to the Office at (617) 979-8300.</w:t>
      </w:r>
    </w:p>
    <w:p w14:paraId="57FEA6A3" w14:textId="77777777" w:rsidR="008D38C2" w:rsidRDefault="008D38C2" w:rsidP="008D38C2">
      <w:pPr>
        <w:rPr>
          <w:rFonts w:ascii="Times New Roman" w:hAnsi="Times New Roman" w:cs="Times New Roman"/>
        </w:rPr>
      </w:pPr>
    </w:p>
    <w:sectPr w:rsidR="008D38C2" w:rsidSect="00D468B2">
      <w:headerReference w:type="even" r:id="rId12"/>
      <w:headerReference w:type="default" r:id="rId13"/>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5F5A0" w14:textId="77777777" w:rsidR="00580FB8" w:rsidRDefault="00580FB8" w:rsidP="0039751C">
      <w:r>
        <w:separator/>
      </w:r>
    </w:p>
  </w:endnote>
  <w:endnote w:type="continuationSeparator" w:id="0">
    <w:p w14:paraId="5420EE09" w14:textId="77777777" w:rsidR="00580FB8" w:rsidRDefault="00580FB8" w:rsidP="003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88029" w14:textId="77777777" w:rsidR="00580FB8" w:rsidRDefault="00580FB8" w:rsidP="0039751C">
      <w:r>
        <w:separator/>
      </w:r>
    </w:p>
  </w:footnote>
  <w:footnote w:type="continuationSeparator" w:id="0">
    <w:p w14:paraId="1FAC425D" w14:textId="77777777" w:rsidR="00580FB8" w:rsidRDefault="00580FB8" w:rsidP="003975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96C7" w14:textId="77777777" w:rsidR="0039751C" w:rsidRDefault="0039751C" w:rsidP="004C3F5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B209B" w14:textId="77777777" w:rsidR="0039751C" w:rsidRDefault="0039751C" w:rsidP="0039751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A0DB" w14:textId="77777777" w:rsidR="0039751C" w:rsidRPr="0039751C" w:rsidRDefault="0039751C" w:rsidP="004C3F5E">
    <w:pPr>
      <w:pStyle w:val="Header"/>
      <w:framePr w:wrap="none" w:vAnchor="text" w:hAnchor="margin" w:xAlign="right" w:y="1"/>
      <w:rPr>
        <w:rStyle w:val="PageNumber"/>
        <w:rFonts w:ascii="Times New Roman" w:hAnsi="Times New Roman" w:cs="Times New Roman"/>
      </w:rPr>
    </w:pPr>
    <w:r w:rsidRPr="0039751C">
      <w:rPr>
        <w:rStyle w:val="PageNumber"/>
        <w:rFonts w:ascii="Times New Roman" w:hAnsi="Times New Roman" w:cs="Times New Roman"/>
      </w:rPr>
      <w:fldChar w:fldCharType="begin"/>
    </w:r>
    <w:r w:rsidRPr="0039751C">
      <w:rPr>
        <w:rStyle w:val="PageNumber"/>
        <w:rFonts w:ascii="Times New Roman" w:hAnsi="Times New Roman" w:cs="Times New Roman"/>
      </w:rPr>
      <w:instrText xml:space="preserve">PAGE  </w:instrText>
    </w:r>
    <w:r w:rsidRPr="0039751C">
      <w:rPr>
        <w:rStyle w:val="PageNumber"/>
        <w:rFonts w:ascii="Times New Roman" w:hAnsi="Times New Roman" w:cs="Times New Roman"/>
      </w:rPr>
      <w:fldChar w:fldCharType="separate"/>
    </w:r>
    <w:r w:rsidR="00580FB8">
      <w:rPr>
        <w:rStyle w:val="PageNumber"/>
        <w:rFonts w:ascii="Times New Roman" w:hAnsi="Times New Roman" w:cs="Times New Roman"/>
        <w:noProof/>
      </w:rPr>
      <w:t>1</w:t>
    </w:r>
    <w:r w:rsidRPr="0039751C">
      <w:rPr>
        <w:rStyle w:val="PageNumber"/>
        <w:rFonts w:ascii="Times New Roman" w:hAnsi="Times New Roman" w:cs="Times New Roman"/>
      </w:rPr>
      <w:fldChar w:fldCharType="end"/>
    </w:r>
  </w:p>
  <w:p w14:paraId="4DE7E792" w14:textId="305067B0" w:rsidR="0039751C" w:rsidRPr="0039751C" w:rsidRDefault="0039751C" w:rsidP="0039751C">
    <w:pPr>
      <w:pStyle w:val="Header"/>
      <w:ind w:right="360"/>
      <w:jc w:val="right"/>
      <w:rPr>
        <w:rFonts w:ascii="Times New Roman" w:hAnsi="Times New Roman" w:cs="Times New Roman"/>
      </w:rPr>
    </w:pPr>
    <w:r>
      <w:rPr>
        <w:rFonts w:ascii="Times New Roman" w:hAnsi="Times New Roman" w:cs="Times New Roman"/>
      </w:rPr>
      <w:t>C. Frantz Final Exam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3123"/>
    <w:multiLevelType w:val="hybridMultilevel"/>
    <w:tmpl w:val="E7D0B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F2E4A"/>
    <w:multiLevelType w:val="hybridMultilevel"/>
    <w:tmpl w:val="0D527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C"/>
    <w:multiLevelType w:val="hybridMultilevel"/>
    <w:tmpl w:val="54BE5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6C34A1"/>
    <w:multiLevelType w:val="hybridMultilevel"/>
    <w:tmpl w:val="1DFCC8E0"/>
    <w:lvl w:ilvl="0" w:tplc="6EB0D8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1172A"/>
    <w:multiLevelType w:val="hybridMultilevel"/>
    <w:tmpl w:val="98F0A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D5452E2"/>
    <w:multiLevelType w:val="hybridMultilevel"/>
    <w:tmpl w:val="7C8A3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BF0E25"/>
    <w:multiLevelType w:val="hybridMultilevel"/>
    <w:tmpl w:val="8FB23E2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80"/>
    <w:rsid w:val="000573AB"/>
    <w:rsid w:val="000B58EE"/>
    <w:rsid w:val="000D5A1D"/>
    <w:rsid w:val="00167F70"/>
    <w:rsid w:val="001875BF"/>
    <w:rsid w:val="001B51D5"/>
    <w:rsid w:val="001F734A"/>
    <w:rsid w:val="002027F1"/>
    <w:rsid w:val="0039751C"/>
    <w:rsid w:val="003C54EA"/>
    <w:rsid w:val="00473D7F"/>
    <w:rsid w:val="004D146F"/>
    <w:rsid w:val="004E1B30"/>
    <w:rsid w:val="00580FB8"/>
    <w:rsid w:val="00593D81"/>
    <w:rsid w:val="005F5B50"/>
    <w:rsid w:val="00660920"/>
    <w:rsid w:val="00747095"/>
    <w:rsid w:val="008D38C2"/>
    <w:rsid w:val="00992D80"/>
    <w:rsid w:val="009F64EB"/>
    <w:rsid w:val="00A00806"/>
    <w:rsid w:val="00A45CF2"/>
    <w:rsid w:val="00AC3C09"/>
    <w:rsid w:val="00B86EC4"/>
    <w:rsid w:val="00BD39BC"/>
    <w:rsid w:val="00BF70F8"/>
    <w:rsid w:val="00CA2044"/>
    <w:rsid w:val="00D2244F"/>
    <w:rsid w:val="00D468B2"/>
    <w:rsid w:val="00DD337F"/>
    <w:rsid w:val="00E4105D"/>
    <w:rsid w:val="00E870EE"/>
    <w:rsid w:val="00EE76BD"/>
    <w:rsid w:val="00F34D08"/>
    <w:rsid w:val="00FA13E0"/>
    <w:rsid w:val="00FE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59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80"/>
    <w:pPr>
      <w:ind w:left="720"/>
      <w:contextualSpacing/>
    </w:pPr>
  </w:style>
  <w:style w:type="character" w:styleId="Hyperlink">
    <w:name w:val="Hyperlink"/>
    <w:basedOn w:val="DefaultParagraphFont"/>
    <w:uiPriority w:val="99"/>
    <w:unhideWhenUsed/>
    <w:rsid w:val="004E1B30"/>
    <w:rPr>
      <w:color w:val="0563C1" w:themeColor="hyperlink"/>
      <w:u w:val="single"/>
    </w:rPr>
  </w:style>
  <w:style w:type="paragraph" w:styleId="Header">
    <w:name w:val="header"/>
    <w:basedOn w:val="Normal"/>
    <w:link w:val="HeaderChar"/>
    <w:uiPriority w:val="99"/>
    <w:unhideWhenUsed/>
    <w:rsid w:val="0039751C"/>
    <w:pPr>
      <w:tabs>
        <w:tab w:val="center" w:pos="4680"/>
        <w:tab w:val="right" w:pos="9360"/>
      </w:tabs>
    </w:pPr>
  </w:style>
  <w:style w:type="character" w:customStyle="1" w:styleId="HeaderChar">
    <w:name w:val="Header Char"/>
    <w:basedOn w:val="DefaultParagraphFont"/>
    <w:link w:val="Header"/>
    <w:uiPriority w:val="99"/>
    <w:rsid w:val="0039751C"/>
  </w:style>
  <w:style w:type="character" w:styleId="PageNumber">
    <w:name w:val="page number"/>
    <w:basedOn w:val="DefaultParagraphFont"/>
    <w:uiPriority w:val="99"/>
    <w:semiHidden/>
    <w:unhideWhenUsed/>
    <w:rsid w:val="0039751C"/>
  </w:style>
  <w:style w:type="paragraph" w:styleId="Footer">
    <w:name w:val="footer"/>
    <w:basedOn w:val="Normal"/>
    <w:link w:val="FooterChar"/>
    <w:uiPriority w:val="99"/>
    <w:unhideWhenUsed/>
    <w:rsid w:val="0039751C"/>
    <w:pPr>
      <w:tabs>
        <w:tab w:val="center" w:pos="4680"/>
        <w:tab w:val="right" w:pos="9360"/>
      </w:tabs>
    </w:pPr>
  </w:style>
  <w:style w:type="character" w:customStyle="1" w:styleId="FooterChar">
    <w:name w:val="Footer Char"/>
    <w:basedOn w:val="DefaultParagraphFont"/>
    <w:link w:val="Footer"/>
    <w:uiPriority w:val="99"/>
    <w:rsid w:val="0039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6581">
      <w:bodyDiv w:val="1"/>
      <w:marLeft w:val="0"/>
      <w:marRight w:val="0"/>
      <w:marTop w:val="0"/>
      <w:marBottom w:val="0"/>
      <w:divBdr>
        <w:top w:val="none" w:sz="0" w:space="0" w:color="auto"/>
        <w:left w:val="none" w:sz="0" w:space="0" w:color="auto"/>
        <w:bottom w:val="none" w:sz="0" w:space="0" w:color="auto"/>
        <w:right w:val="none" w:sz="0" w:space="0" w:color="auto"/>
      </w:divBdr>
    </w:div>
    <w:div w:id="45492616">
      <w:bodyDiv w:val="1"/>
      <w:marLeft w:val="0"/>
      <w:marRight w:val="0"/>
      <w:marTop w:val="0"/>
      <w:marBottom w:val="0"/>
      <w:divBdr>
        <w:top w:val="none" w:sz="0" w:space="0" w:color="auto"/>
        <w:left w:val="none" w:sz="0" w:space="0" w:color="auto"/>
        <w:bottom w:val="none" w:sz="0" w:space="0" w:color="auto"/>
        <w:right w:val="none" w:sz="0" w:space="0" w:color="auto"/>
      </w:divBdr>
    </w:div>
    <w:div w:id="61031116">
      <w:bodyDiv w:val="1"/>
      <w:marLeft w:val="0"/>
      <w:marRight w:val="0"/>
      <w:marTop w:val="0"/>
      <w:marBottom w:val="0"/>
      <w:divBdr>
        <w:top w:val="none" w:sz="0" w:space="0" w:color="auto"/>
        <w:left w:val="none" w:sz="0" w:space="0" w:color="auto"/>
        <w:bottom w:val="none" w:sz="0" w:space="0" w:color="auto"/>
        <w:right w:val="none" w:sz="0" w:space="0" w:color="auto"/>
      </w:divBdr>
    </w:div>
    <w:div w:id="62683374">
      <w:bodyDiv w:val="1"/>
      <w:marLeft w:val="0"/>
      <w:marRight w:val="0"/>
      <w:marTop w:val="0"/>
      <w:marBottom w:val="0"/>
      <w:divBdr>
        <w:top w:val="none" w:sz="0" w:space="0" w:color="auto"/>
        <w:left w:val="none" w:sz="0" w:space="0" w:color="auto"/>
        <w:bottom w:val="none" w:sz="0" w:space="0" w:color="auto"/>
        <w:right w:val="none" w:sz="0" w:space="0" w:color="auto"/>
      </w:divBdr>
    </w:div>
    <w:div w:id="69424471">
      <w:bodyDiv w:val="1"/>
      <w:marLeft w:val="0"/>
      <w:marRight w:val="0"/>
      <w:marTop w:val="0"/>
      <w:marBottom w:val="0"/>
      <w:divBdr>
        <w:top w:val="none" w:sz="0" w:space="0" w:color="auto"/>
        <w:left w:val="none" w:sz="0" w:space="0" w:color="auto"/>
        <w:bottom w:val="none" w:sz="0" w:space="0" w:color="auto"/>
        <w:right w:val="none" w:sz="0" w:space="0" w:color="auto"/>
      </w:divBdr>
    </w:div>
    <w:div w:id="74255348">
      <w:bodyDiv w:val="1"/>
      <w:marLeft w:val="0"/>
      <w:marRight w:val="0"/>
      <w:marTop w:val="0"/>
      <w:marBottom w:val="0"/>
      <w:divBdr>
        <w:top w:val="none" w:sz="0" w:space="0" w:color="auto"/>
        <w:left w:val="none" w:sz="0" w:space="0" w:color="auto"/>
        <w:bottom w:val="none" w:sz="0" w:space="0" w:color="auto"/>
        <w:right w:val="none" w:sz="0" w:space="0" w:color="auto"/>
      </w:divBdr>
    </w:div>
    <w:div w:id="273249511">
      <w:bodyDiv w:val="1"/>
      <w:marLeft w:val="0"/>
      <w:marRight w:val="0"/>
      <w:marTop w:val="0"/>
      <w:marBottom w:val="0"/>
      <w:divBdr>
        <w:top w:val="none" w:sz="0" w:space="0" w:color="auto"/>
        <w:left w:val="none" w:sz="0" w:space="0" w:color="auto"/>
        <w:bottom w:val="none" w:sz="0" w:space="0" w:color="auto"/>
        <w:right w:val="none" w:sz="0" w:space="0" w:color="auto"/>
      </w:divBdr>
    </w:div>
    <w:div w:id="276911964">
      <w:bodyDiv w:val="1"/>
      <w:marLeft w:val="0"/>
      <w:marRight w:val="0"/>
      <w:marTop w:val="0"/>
      <w:marBottom w:val="0"/>
      <w:divBdr>
        <w:top w:val="none" w:sz="0" w:space="0" w:color="auto"/>
        <w:left w:val="none" w:sz="0" w:space="0" w:color="auto"/>
        <w:bottom w:val="none" w:sz="0" w:space="0" w:color="auto"/>
        <w:right w:val="none" w:sz="0" w:space="0" w:color="auto"/>
      </w:divBdr>
    </w:div>
    <w:div w:id="278880671">
      <w:bodyDiv w:val="1"/>
      <w:marLeft w:val="0"/>
      <w:marRight w:val="0"/>
      <w:marTop w:val="0"/>
      <w:marBottom w:val="0"/>
      <w:divBdr>
        <w:top w:val="none" w:sz="0" w:space="0" w:color="auto"/>
        <w:left w:val="none" w:sz="0" w:space="0" w:color="auto"/>
        <w:bottom w:val="none" w:sz="0" w:space="0" w:color="auto"/>
        <w:right w:val="none" w:sz="0" w:space="0" w:color="auto"/>
      </w:divBdr>
    </w:div>
    <w:div w:id="283004770">
      <w:bodyDiv w:val="1"/>
      <w:marLeft w:val="0"/>
      <w:marRight w:val="0"/>
      <w:marTop w:val="0"/>
      <w:marBottom w:val="0"/>
      <w:divBdr>
        <w:top w:val="none" w:sz="0" w:space="0" w:color="auto"/>
        <w:left w:val="none" w:sz="0" w:space="0" w:color="auto"/>
        <w:bottom w:val="none" w:sz="0" w:space="0" w:color="auto"/>
        <w:right w:val="none" w:sz="0" w:space="0" w:color="auto"/>
      </w:divBdr>
    </w:div>
    <w:div w:id="305356107">
      <w:bodyDiv w:val="1"/>
      <w:marLeft w:val="0"/>
      <w:marRight w:val="0"/>
      <w:marTop w:val="0"/>
      <w:marBottom w:val="0"/>
      <w:divBdr>
        <w:top w:val="none" w:sz="0" w:space="0" w:color="auto"/>
        <w:left w:val="none" w:sz="0" w:space="0" w:color="auto"/>
        <w:bottom w:val="none" w:sz="0" w:space="0" w:color="auto"/>
        <w:right w:val="none" w:sz="0" w:space="0" w:color="auto"/>
      </w:divBdr>
    </w:div>
    <w:div w:id="388959408">
      <w:bodyDiv w:val="1"/>
      <w:marLeft w:val="0"/>
      <w:marRight w:val="0"/>
      <w:marTop w:val="0"/>
      <w:marBottom w:val="0"/>
      <w:divBdr>
        <w:top w:val="none" w:sz="0" w:space="0" w:color="auto"/>
        <w:left w:val="none" w:sz="0" w:space="0" w:color="auto"/>
        <w:bottom w:val="none" w:sz="0" w:space="0" w:color="auto"/>
        <w:right w:val="none" w:sz="0" w:space="0" w:color="auto"/>
      </w:divBdr>
    </w:div>
    <w:div w:id="428506322">
      <w:bodyDiv w:val="1"/>
      <w:marLeft w:val="0"/>
      <w:marRight w:val="0"/>
      <w:marTop w:val="0"/>
      <w:marBottom w:val="0"/>
      <w:divBdr>
        <w:top w:val="none" w:sz="0" w:space="0" w:color="auto"/>
        <w:left w:val="none" w:sz="0" w:space="0" w:color="auto"/>
        <w:bottom w:val="none" w:sz="0" w:space="0" w:color="auto"/>
        <w:right w:val="none" w:sz="0" w:space="0" w:color="auto"/>
      </w:divBdr>
    </w:div>
    <w:div w:id="502624256">
      <w:bodyDiv w:val="1"/>
      <w:marLeft w:val="0"/>
      <w:marRight w:val="0"/>
      <w:marTop w:val="0"/>
      <w:marBottom w:val="0"/>
      <w:divBdr>
        <w:top w:val="none" w:sz="0" w:space="0" w:color="auto"/>
        <w:left w:val="none" w:sz="0" w:space="0" w:color="auto"/>
        <w:bottom w:val="none" w:sz="0" w:space="0" w:color="auto"/>
        <w:right w:val="none" w:sz="0" w:space="0" w:color="auto"/>
      </w:divBdr>
    </w:div>
    <w:div w:id="517617988">
      <w:bodyDiv w:val="1"/>
      <w:marLeft w:val="0"/>
      <w:marRight w:val="0"/>
      <w:marTop w:val="0"/>
      <w:marBottom w:val="0"/>
      <w:divBdr>
        <w:top w:val="none" w:sz="0" w:space="0" w:color="auto"/>
        <w:left w:val="none" w:sz="0" w:space="0" w:color="auto"/>
        <w:bottom w:val="none" w:sz="0" w:space="0" w:color="auto"/>
        <w:right w:val="none" w:sz="0" w:space="0" w:color="auto"/>
      </w:divBdr>
    </w:div>
    <w:div w:id="698436947">
      <w:bodyDiv w:val="1"/>
      <w:marLeft w:val="0"/>
      <w:marRight w:val="0"/>
      <w:marTop w:val="0"/>
      <w:marBottom w:val="0"/>
      <w:divBdr>
        <w:top w:val="none" w:sz="0" w:space="0" w:color="auto"/>
        <w:left w:val="none" w:sz="0" w:space="0" w:color="auto"/>
        <w:bottom w:val="none" w:sz="0" w:space="0" w:color="auto"/>
        <w:right w:val="none" w:sz="0" w:space="0" w:color="auto"/>
      </w:divBdr>
    </w:div>
    <w:div w:id="800272731">
      <w:bodyDiv w:val="1"/>
      <w:marLeft w:val="0"/>
      <w:marRight w:val="0"/>
      <w:marTop w:val="0"/>
      <w:marBottom w:val="0"/>
      <w:divBdr>
        <w:top w:val="none" w:sz="0" w:space="0" w:color="auto"/>
        <w:left w:val="none" w:sz="0" w:space="0" w:color="auto"/>
        <w:bottom w:val="none" w:sz="0" w:space="0" w:color="auto"/>
        <w:right w:val="none" w:sz="0" w:space="0" w:color="auto"/>
      </w:divBdr>
    </w:div>
    <w:div w:id="813185073">
      <w:bodyDiv w:val="1"/>
      <w:marLeft w:val="0"/>
      <w:marRight w:val="0"/>
      <w:marTop w:val="0"/>
      <w:marBottom w:val="0"/>
      <w:divBdr>
        <w:top w:val="none" w:sz="0" w:space="0" w:color="auto"/>
        <w:left w:val="none" w:sz="0" w:space="0" w:color="auto"/>
        <w:bottom w:val="none" w:sz="0" w:space="0" w:color="auto"/>
        <w:right w:val="none" w:sz="0" w:space="0" w:color="auto"/>
      </w:divBdr>
    </w:div>
    <w:div w:id="843592731">
      <w:bodyDiv w:val="1"/>
      <w:marLeft w:val="0"/>
      <w:marRight w:val="0"/>
      <w:marTop w:val="0"/>
      <w:marBottom w:val="0"/>
      <w:divBdr>
        <w:top w:val="none" w:sz="0" w:space="0" w:color="auto"/>
        <w:left w:val="none" w:sz="0" w:space="0" w:color="auto"/>
        <w:bottom w:val="none" w:sz="0" w:space="0" w:color="auto"/>
        <w:right w:val="none" w:sz="0" w:space="0" w:color="auto"/>
      </w:divBdr>
    </w:div>
    <w:div w:id="851994908">
      <w:bodyDiv w:val="1"/>
      <w:marLeft w:val="0"/>
      <w:marRight w:val="0"/>
      <w:marTop w:val="0"/>
      <w:marBottom w:val="0"/>
      <w:divBdr>
        <w:top w:val="none" w:sz="0" w:space="0" w:color="auto"/>
        <w:left w:val="none" w:sz="0" w:space="0" w:color="auto"/>
        <w:bottom w:val="none" w:sz="0" w:space="0" w:color="auto"/>
        <w:right w:val="none" w:sz="0" w:space="0" w:color="auto"/>
      </w:divBdr>
    </w:div>
    <w:div w:id="868029490">
      <w:bodyDiv w:val="1"/>
      <w:marLeft w:val="0"/>
      <w:marRight w:val="0"/>
      <w:marTop w:val="0"/>
      <w:marBottom w:val="0"/>
      <w:divBdr>
        <w:top w:val="none" w:sz="0" w:space="0" w:color="auto"/>
        <w:left w:val="none" w:sz="0" w:space="0" w:color="auto"/>
        <w:bottom w:val="none" w:sz="0" w:space="0" w:color="auto"/>
        <w:right w:val="none" w:sz="0" w:space="0" w:color="auto"/>
      </w:divBdr>
    </w:div>
    <w:div w:id="903294988">
      <w:bodyDiv w:val="1"/>
      <w:marLeft w:val="0"/>
      <w:marRight w:val="0"/>
      <w:marTop w:val="0"/>
      <w:marBottom w:val="0"/>
      <w:divBdr>
        <w:top w:val="none" w:sz="0" w:space="0" w:color="auto"/>
        <w:left w:val="none" w:sz="0" w:space="0" w:color="auto"/>
        <w:bottom w:val="none" w:sz="0" w:space="0" w:color="auto"/>
        <w:right w:val="none" w:sz="0" w:space="0" w:color="auto"/>
      </w:divBdr>
    </w:div>
    <w:div w:id="947278416">
      <w:bodyDiv w:val="1"/>
      <w:marLeft w:val="0"/>
      <w:marRight w:val="0"/>
      <w:marTop w:val="0"/>
      <w:marBottom w:val="0"/>
      <w:divBdr>
        <w:top w:val="none" w:sz="0" w:space="0" w:color="auto"/>
        <w:left w:val="none" w:sz="0" w:space="0" w:color="auto"/>
        <w:bottom w:val="none" w:sz="0" w:space="0" w:color="auto"/>
        <w:right w:val="none" w:sz="0" w:space="0" w:color="auto"/>
      </w:divBdr>
    </w:div>
    <w:div w:id="970405156">
      <w:bodyDiv w:val="1"/>
      <w:marLeft w:val="0"/>
      <w:marRight w:val="0"/>
      <w:marTop w:val="0"/>
      <w:marBottom w:val="0"/>
      <w:divBdr>
        <w:top w:val="none" w:sz="0" w:space="0" w:color="auto"/>
        <w:left w:val="none" w:sz="0" w:space="0" w:color="auto"/>
        <w:bottom w:val="none" w:sz="0" w:space="0" w:color="auto"/>
        <w:right w:val="none" w:sz="0" w:space="0" w:color="auto"/>
      </w:divBdr>
    </w:div>
    <w:div w:id="1005012198">
      <w:bodyDiv w:val="1"/>
      <w:marLeft w:val="0"/>
      <w:marRight w:val="0"/>
      <w:marTop w:val="0"/>
      <w:marBottom w:val="0"/>
      <w:divBdr>
        <w:top w:val="none" w:sz="0" w:space="0" w:color="auto"/>
        <w:left w:val="none" w:sz="0" w:space="0" w:color="auto"/>
        <w:bottom w:val="none" w:sz="0" w:space="0" w:color="auto"/>
        <w:right w:val="none" w:sz="0" w:space="0" w:color="auto"/>
      </w:divBdr>
    </w:div>
    <w:div w:id="1016153596">
      <w:bodyDiv w:val="1"/>
      <w:marLeft w:val="0"/>
      <w:marRight w:val="0"/>
      <w:marTop w:val="0"/>
      <w:marBottom w:val="0"/>
      <w:divBdr>
        <w:top w:val="none" w:sz="0" w:space="0" w:color="auto"/>
        <w:left w:val="none" w:sz="0" w:space="0" w:color="auto"/>
        <w:bottom w:val="none" w:sz="0" w:space="0" w:color="auto"/>
        <w:right w:val="none" w:sz="0" w:space="0" w:color="auto"/>
      </w:divBdr>
    </w:div>
    <w:div w:id="1103379900">
      <w:bodyDiv w:val="1"/>
      <w:marLeft w:val="0"/>
      <w:marRight w:val="0"/>
      <w:marTop w:val="0"/>
      <w:marBottom w:val="0"/>
      <w:divBdr>
        <w:top w:val="none" w:sz="0" w:space="0" w:color="auto"/>
        <w:left w:val="none" w:sz="0" w:space="0" w:color="auto"/>
        <w:bottom w:val="none" w:sz="0" w:space="0" w:color="auto"/>
        <w:right w:val="none" w:sz="0" w:space="0" w:color="auto"/>
      </w:divBdr>
    </w:div>
    <w:div w:id="1134256968">
      <w:bodyDiv w:val="1"/>
      <w:marLeft w:val="0"/>
      <w:marRight w:val="0"/>
      <w:marTop w:val="0"/>
      <w:marBottom w:val="0"/>
      <w:divBdr>
        <w:top w:val="none" w:sz="0" w:space="0" w:color="auto"/>
        <w:left w:val="none" w:sz="0" w:space="0" w:color="auto"/>
        <w:bottom w:val="none" w:sz="0" w:space="0" w:color="auto"/>
        <w:right w:val="none" w:sz="0" w:space="0" w:color="auto"/>
      </w:divBdr>
    </w:div>
    <w:div w:id="1137450003">
      <w:bodyDiv w:val="1"/>
      <w:marLeft w:val="0"/>
      <w:marRight w:val="0"/>
      <w:marTop w:val="0"/>
      <w:marBottom w:val="0"/>
      <w:divBdr>
        <w:top w:val="none" w:sz="0" w:space="0" w:color="auto"/>
        <w:left w:val="none" w:sz="0" w:space="0" w:color="auto"/>
        <w:bottom w:val="none" w:sz="0" w:space="0" w:color="auto"/>
        <w:right w:val="none" w:sz="0" w:space="0" w:color="auto"/>
      </w:divBdr>
    </w:div>
    <w:div w:id="1143546114">
      <w:bodyDiv w:val="1"/>
      <w:marLeft w:val="0"/>
      <w:marRight w:val="0"/>
      <w:marTop w:val="0"/>
      <w:marBottom w:val="0"/>
      <w:divBdr>
        <w:top w:val="none" w:sz="0" w:space="0" w:color="auto"/>
        <w:left w:val="none" w:sz="0" w:space="0" w:color="auto"/>
        <w:bottom w:val="none" w:sz="0" w:space="0" w:color="auto"/>
        <w:right w:val="none" w:sz="0" w:space="0" w:color="auto"/>
      </w:divBdr>
    </w:div>
    <w:div w:id="1193880219">
      <w:bodyDiv w:val="1"/>
      <w:marLeft w:val="0"/>
      <w:marRight w:val="0"/>
      <w:marTop w:val="0"/>
      <w:marBottom w:val="0"/>
      <w:divBdr>
        <w:top w:val="none" w:sz="0" w:space="0" w:color="auto"/>
        <w:left w:val="none" w:sz="0" w:space="0" w:color="auto"/>
        <w:bottom w:val="none" w:sz="0" w:space="0" w:color="auto"/>
        <w:right w:val="none" w:sz="0" w:space="0" w:color="auto"/>
      </w:divBdr>
    </w:div>
    <w:div w:id="1256399107">
      <w:bodyDiv w:val="1"/>
      <w:marLeft w:val="0"/>
      <w:marRight w:val="0"/>
      <w:marTop w:val="0"/>
      <w:marBottom w:val="0"/>
      <w:divBdr>
        <w:top w:val="none" w:sz="0" w:space="0" w:color="auto"/>
        <w:left w:val="none" w:sz="0" w:space="0" w:color="auto"/>
        <w:bottom w:val="none" w:sz="0" w:space="0" w:color="auto"/>
        <w:right w:val="none" w:sz="0" w:space="0" w:color="auto"/>
      </w:divBdr>
    </w:div>
    <w:div w:id="1259362085">
      <w:bodyDiv w:val="1"/>
      <w:marLeft w:val="0"/>
      <w:marRight w:val="0"/>
      <w:marTop w:val="0"/>
      <w:marBottom w:val="0"/>
      <w:divBdr>
        <w:top w:val="none" w:sz="0" w:space="0" w:color="auto"/>
        <w:left w:val="none" w:sz="0" w:space="0" w:color="auto"/>
        <w:bottom w:val="none" w:sz="0" w:space="0" w:color="auto"/>
        <w:right w:val="none" w:sz="0" w:space="0" w:color="auto"/>
      </w:divBdr>
    </w:div>
    <w:div w:id="1275289254">
      <w:bodyDiv w:val="1"/>
      <w:marLeft w:val="0"/>
      <w:marRight w:val="0"/>
      <w:marTop w:val="0"/>
      <w:marBottom w:val="0"/>
      <w:divBdr>
        <w:top w:val="none" w:sz="0" w:space="0" w:color="auto"/>
        <w:left w:val="none" w:sz="0" w:space="0" w:color="auto"/>
        <w:bottom w:val="none" w:sz="0" w:space="0" w:color="auto"/>
        <w:right w:val="none" w:sz="0" w:space="0" w:color="auto"/>
      </w:divBdr>
    </w:div>
    <w:div w:id="1323122392">
      <w:bodyDiv w:val="1"/>
      <w:marLeft w:val="0"/>
      <w:marRight w:val="0"/>
      <w:marTop w:val="0"/>
      <w:marBottom w:val="0"/>
      <w:divBdr>
        <w:top w:val="none" w:sz="0" w:space="0" w:color="auto"/>
        <w:left w:val="none" w:sz="0" w:space="0" w:color="auto"/>
        <w:bottom w:val="none" w:sz="0" w:space="0" w:color="auto"/>
        <w:right w:val="none" w:sz="0" w:space="0" w:color="auto"/>
      </w:divBdr>
    </w:div>
    <w:div w:id="1331451131">
      <w:bodyDiv w:val="1"/>
      <w:marLeft w:val="0"/>
      <w:marRight w:val="0"/>
      <w:marTop w:val="0"/>
      <w:marBottom w:val="0"/>
      <w:divBdr>
        <w:top w:val="none" w:sz="0" w:space="0" w:color="auto"/>
        <w:left w:val="none" w:sz="0" w:space="0" w:color="auto"/>
        <w:bottom w:val="none" w:sz="0" w:space="0" w:color="auto"/>
        <w:right w:val="none" w:sz="0" w:space="0" w:color="auto"/>
      </w:divBdr>
    </w:div>
    <w:div w:id="1351026980">
      <w:bodyDiv w:val="1"/>
      <w:marLeft w:val="0"/>
      <w:marRight w:val="0"/>
      <w:marTop w:val="0"/>
      <w:marBottom w:val="0"/>
      <w:divBdr>
        <w:top w:val="none" w:sz="0" w:space="0" w:color="auto"/>
        <w:left w:val="none" w:sz="0" w:space="0" w:color="auto"/>
        <w:bottom w:val="none" w:sz="0" w:space="0" w:color="auto"/>
        <w:right w:val="none" w:sz="0" w:space="0" w:color="auto"/>
      </w:divBdr>
    </w:div>
    <w:div w:id="1374962105">
      <w:bodyDiv w:val="1"/>
      <w:marLeft w:val="0"/>
      <w:marRight w:val="0"/>
      <w:marTop w:val="0"/>
      <w:marBottom w:val="0"/>
      <w:divBdr>
        <w:top w:val="none" w:sz="0" w:space="0" w:color="auto"/>
        <w:left w:val="none" w:sz="0" w:space="0" w:color="auto"/>
        <w:bottom w:val="none" w:sz="0" w:space="0" w:color="auto"/>
        <w:right w:val="none" w:sz="0" w:space="0" w:color="auto"/>
      </w:divBdr>
    </w:div>
    <w:div w:id="1453133809">
      <w:bodyDiv w:val="1"/>
      <w:marLeft w:val="0"/>
      <w:marRight w:val="0"/>
      <w:marTop w:val="0"/>
      <w:marBottom w:val="0"/>
      <w:divBdr>
        <w:top w:val="none" w:sz="0" w:space="0" w:color="auto"/>
        <w:left w:val="none" w:sz="0" w:space="0" w:color="auto"/>
        <w:bottom w:val="none" w:sz="0" w:space="0" w:color="auto"/>
        <w:right w:val="none" w:sz="0" w:space="0" w:color="auto"/>
      </w:divBdr>
    </w:div>
    <w:div w:id="1490246813">
      <w:bodyDiv w:val="1"/>
      <w:marLeft w:val="0"/>
      <w:marRight w:val="0"/>
      <w:marTop w:val="0"/>
      <w:marBottom w:val="0"/>
      <w:divBdr>
        <w:top w:val="none" w:sz="0" w:space="0" w:color="auto"/>
        <w:left w:val="none" w:sz="0" w:space="0" w:color="auto"/>
        <w:bottom w:val="none" w:sz="0" w:space="0" w:color="auto"/>
        <w:right w:val="none" w:sz="0" w:space="0" w:color="auto"/>
      </w:divBdr>
    </w:div>
    <w:div w:id="1502432789">
      <w:bodyDiv w:val="1"/>
      <w:marLeft w:val="0"/>
      <w:marRight w:val="0"/>
      <w:marTop w:val="0"/>
      <w:marBottom w:val="0"/>
      <w:divBdr>
        <w:top w:val="none" w:sz="0" w:space="0" w:color="auto"/>
        <w:left w:val="none" w:sz="0" w:space="0" w:color="auto"/>
        <w:bottom w:val="none" w:sz="0" w:space="0" w:color="auto"/>
        <w:right w:val="none" w:sz="0" w:space="0" w:color="auto"/>
      </w:divBdr>
    </w:div>
    <w:div w:id="1573806575">
      <w:bodyDiv w:val="1"/>
      <w:marLeft w:val="0"/>
      <w:marRight w:val="0"/>
      <w:marTop w:val="0"/>
      <w:marBottom w:val="0"/>
      <w:divBdr>
        <w:top w:val="none" w:sz="0" w:space="0" w:color="auto"/>
        <w:left w:val="none" w:sz="0" w:space="0" w:color="auto"/>
        <w:bottom w:val="none" w:sz="0" w:space="0" w:color="auto"/>
        <w:right w:val="none" w:sz="0" w:space="0" w:color="auto"/>
      </w:divBdr>
    </w:div>
    <w:div w:id="1628462735">
      <w:bodyDiv w:val="1"/>
      <w:marLeft w:val="0"/>
      <w:marRight w:val="0"/>
      <w:marTop w:val="0"/>
      <w:marBottom w:val="0"/>
      <w:divBdr>
        <w:top w:val="none" w:sz="0" w:space="0" w:color="auto"/>
        <w:left w:val="none" w:sz="0" w:space="0" w:color="auto"/>
        <w:bottom w:val="none" w:sz="0" w:space="0" w:color="auto"/>
        <w:right w:val="none" w:sz="0" w:space="0" w:color="auto"/>
      </w:divBdr>
    </w:div>
    <w:div w:id="1676376561">
      <w:bodyDiv w:val="1"/>
      <w:marLeft w:val="0"/>
      <w:marRight w:val="0"/>
      <w:marTop w:val="0"/>
      <w:marBottom w:val="0"/>
      <w:divBdr>
        <w:top w:val="none" w:sz="0" w:space="0" w:color="auto"/>
        <w:left w:val="none" w:sz="0" w:space="0" w:color="auto"/>
        <w:bottom w:val="none" w:sz="0" w:space="0" w:color="auto"/>
        <w:right w:val="none" w:sz="0" w:space="0" w:color="auto"/>
      </w:divBdr>
    </w:div>
    <w:div w:id="1692145862">
      <w:bodyDiv w:val="1"/>
      <w:marLeft w:val="0"/>
      <w:marRight w:val="0"/>
      <w:marTop w:val="0"/>
      <w:marBottom w:val="0"/>
      <w:divBdr>
        <w:top w:val="none" w:sz="0" w:space="0" w:color="auto"/>
        <w:left w:val="none" w:sz="0" w:space="0" w:color="auto"/>
        <w:bottom w:val="none" w:sz="0" w:space="0" w:color="auto"/>
        <w:right w:val="none" w:sz="0" w:space="0" w:color="auto"/>
      </w:divBdr>
    </w:div>
    <w:div w:id="1718582987">
      <w:bodyDiv w:val="1"/>
      <w:marLeft w:val="0"/>
      <w:marRight w:val="0"/>
      <w:marTop w:val="0"/>
      <w:marBottom w:val="0"/>
      <w:divBdr>
        <w:top w:val="none" w:sz="0" w:space="0" w:color="auto"/>
        <w:left w:val="none" w:sz="0" w:space="0" w:color="auto"/>
        <w:bottom w:val="none" w:sz="0" w:space="0" w:color="auto"/>
        <w:right w:val="none" w:sz="0" w:space="0" w:color="auto"/>
      </w:divBdr>
    </w:div>
    <w:div w:id="1740012485">
      <w:bodyDiv w:val="1"/>
      <w:marLeft w:val="0"/>
      <w:marRight w:val="0"/>
      <w:marTop w:val="0"/>
      <w:marBottom w:val="0"/>
      <w:divBdr>
        <w:top w:val="none" w:sz="0" w:space="0" w:color="auto"/>
        <w:left w:val="none" w:sz="0" w:space="0" w:color="auto"/>
        <w:bottom w:val="none" w:sz="0" w:space="0" w:color="auto"/>
        <w:right w:val="none" w:sz="0" w:space="0" w:color="auto"/>
      </w:divBdr>
    </w:div>
    <w:div w:id="1773162809">
      <w:bodyDiv w:val="1"/>
      <w:marLeft w:val="0"/>
      <w:marRight w:val="0"/>
      <w:marTop w:val="0"/>
      <w:marBottom w:val="0"/>
      <w:divBdr>
        <w:top w:val="none" w:sz="0" w:space="0" w:color="auto"/>
        <w:left w:val="none" w:sz="0" w:space="0" w:color="auto"/>
        <w:bottom w:val="none" w:sz="0" w:space="0" w:color="auto"/>
        <w:right w:val="none" w:sz="0" w:space="0" w:color="auto"/>
      </w:divBdr>
    </w:div>
    <w:div w:id="1774205979">
      <w:bodyDiv w:val="1"/>
      <w:marLeft w:val="0"/>
      <w:marRight w:val="0"/>
      <w:marTop w:val="0"/>
      <w:marBottom w:val="0"/>
      <w:divBdr>
        <w:top w:val="none" w:sz="0" w:space="0" w:color="auto"/>
        <w:left w:val="none" w:sz="0" w:space="0" w:color="auto"/>
        <w:bottom w:val="none" w:sz="0" w:space="0" w:color="auto"/>
        <w:right w:val="none" w:sz="0" w:space="0" w:color="auto"/>
      </w:divBdr>
    </w:div>
    <w:div w:id="1778522870">
      <w:bodyDiv w:val="1"/>
      <w:marLeft w:val="0"/>
      <w:marRight w:val="0"/>
      <w:marTop w:val="0"/>
      <w:marBottom w:val="0"/>
      <w:divBdr>
        <w:top w:val="none" w:sz="0" w:space="0" w:color="auto"/>
        <w:left w:val="none" w:sz="0" w:space="0" w:color="auto"/>
        <w:bottom w:val="none" w:sz="0" w:space="0" w:color="auto"/>
        <w:right w:val="none" w:sz="0" w:space="0" w:color="auto"/>
      </w:divBdr>
    </w:div>
    <w:div w:id="1854102614">
      <w:bodyDiv w:val="1"/>
      <w:marLeft w:val="0"/>
      <w:marRight w:val="0"/>
      <w:marTop w:val="0"/>
      <w:marBottom w:val="0"/>
      <w:divBdr>
        <w:top w:val="none" w:sz="0" w:space="0" w:color="auto"/>
        <w:left w:val="none" w:sz="0" w:space="0" w:color="auto"/>
        <w:bottom w:val="none" w:sz="0" w:space="0" w:color="auto"/>
        <w:right w:val="none" w:sz="0" w:space="0" w:color="auto"/>
      </w:divBdr>
    </w:div>
    <w:div w:id="1870485800">
      <w:bodyDiv w:val="1"/>
      <w:marLeft w:val="0"/>
      <w:marRight w:val="0"/>
      <w:marTop w:val="0"/>
      <w:marBottom w:val="0"/>
      <w:divBdr>
        <w:top w:val="none" w:sz="0" w:space="0" w:color="auto"/>
        <w:left w:val="none" w:sz="0" w:space="0" w:color="auto"/>
        <w:bottom w:val="none" w:sz="0" w:space="0" w:color="auto"/>
        <w:right w:val="none" w:sz="0" w:space="0" w:color="auto"/>
      </w:divBdr>
    </w:div>
    <w:div w:id="1999726934">
      <w:bodyDiv w:val="1"/>
      <w:marLeft w:val="0"/>
      <w:marRight w:val="0"/>
      <w:marTop w:val="0"/>
      <w:marBottom w:val="0"/>
      <w:divBdr>
        <w:top w:val="none" w:sz="0" w:space="0" w:color="auto"/>
        <w:left w:val="none" w:sz="0" w:space="0" w:color="auto"/>
        <w:bottom w:val="none" w:sz="0" w:space="0" w:color="auto"/>
        <w:right w:val="none" w:sz="0" w:space="0" w:color="auto"/>
      </w:divBdr>
    </w:div>
    <w:div w:id="2033220407">
      <w:bodyDiv w:val="1"/>
      <w:marLeft w:val="0"/>
      <w:marRight w:val="0"/>
      <w:marTop w:val="0"/>
      <w:marBottom w:val="0"/>
      <w:divBdr>
        <w:top w:val="none" w:sz="0" w:space="0" w:color="auto"/>
        <w:left w:val="none" w:sz="0" w:space="0" w:color="auto"/>
        <w:bottom w:val="none" w:sz="0" w:space="0" w:color="auto"/>
        <w:right w:val="none" w:sz="0" w:space="0" w:color="auto"/>
      </w:divBdr>
    </w:div>
    <w:div w:id="2066250729">
      <w:bodyDiv w:val="1"/>
      <w:marLeft w:val="0"/>
      <w:marRight w:val="0"/>
      <w:marTop w:val="0"/>
      <w:marBottom w:val="0"/>
      <w:divBdr>
        <w:top w:val="none" w:sz="0" w:space="0" w:color="auto"/>
        <w:left w:val="none" w:sz="0" w:space="0" w:color="auto"/>
        <w:bottom w:val="none" w:sz="0" w:space="0" w:color="auto"/>
        <w:right w:val="none" w:sz="0" w:space="0" w:color="auto"/>
      </w:divBdr>
    </w:div>
    <w:div w:id="2127773202">
      <w:bodyDiv w:val="1"/>
      <w:marLeft w:val="0"/>
      <w:marRight w:val="0"/>
      <w:marTop w:val="0"/>
      <w:marBottom w:val="0"/>
      <w:divBdr>
        <w:top w:val="none" w:sz="0" w:space="0" w:color="auto"/>
        <w:left w:val="none" w:sz="0" w:space="0" w:color="auto"/>
        <w:bottom w:val="none" w:sz="0" w:space="0" w:color="auto"/>
        <w:right w:val="none" w:sz="0" w:space="0" w:color="auto"/>
      </w:divBdr>
    </w:div>
    <w:div w:id="2129857167">
      <w:bodyDiv w:val="1"/>
      <w:marLeft w:val="0"/>
      <w:marRight w:val="0"/>
      <w:marTop w:val="0"/>
      <w:marBottom w:val="0"/>
      <w:divBdr>
        <w:top w:val="none" w:sz="0" w:space="0" w:color="auto"/>
        <w:left w:val="none" w:sz="0" w:space="0" w:color="auto"/>
        <w:bottom w:val="none" w:sz="0" w:space="0" w:color="auto"/>
        <w:right w:val="none" w:sz="0" w:space="0" w:color="auto"/>
      </w:divBdr>
    </w:div>
    <w:div w:id="21388334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mass.gov/advisory/11-1-public-employee-political-activit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washingtonpost.com/education/2018/10/15/harvard-admissions-goes-trial-university-faces-claim-bias-against-asian-americans/?utm_term=.81004f8b6909" TargetMode="External"/><Relationship Id="rId8" Type="http://schemas.openxmlformats.org/officeDocument/2006/relationships/hyperlink" Target="https://www.dimensionsofculture.com/2010/10/cultural-values-of-asian-patients-and-families/" TargetMode="External"/><Relationship Id="rId9" Type="http://schemas.openxmlformats.org/officeDocument/2006/relationships/hyperlink" Target="http://ebookcentral.proquest.com/lib/northeastern-ebooks/detail.action?docID=1584782" TargetMode="External"/><Relationship Id="rId10" Type="http://schemas.openxmlformats.org/officeDocument/2006/relationships/hyperlink" Target="https://www.insidehighered.com/admissions/views/2018/10/22/educational-values-are-stake-harvard-admissions-case-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24</Pages>
  <Words>7109</Words>
  <Characters>40524</Characters>
  <Application>Microsoft Macintosh Word</Application>
  <DocSecurity>0</DocSecurity>
  <Lines>337</Lines>
  <Paragraphs>95</Paragraphs>
  <ScaleCrop>false</ScaleCrop>
  <LinksUpToDate>false</LinksUpToDate>
  <CharactersWithSpaces>47538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Frantz</dc:creator>
  <cp:keywords/>
  <dc:description/>
  <cp:lastModifiedBy>Stephen Frantz</cp:lastModifiedBy>
  <cp:revision>35</cp:revision>
  <dcterms:created xsi:type="dcterms:W3CDTF">2018-12-12T00:21:00Z</dcterms:created>
  <dcterms:modified xsi:type="dcterms:W3CDTF">2018-12-12T22:38:00Z</dcterms:modified>
</cp:coreProperties>
</file>